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5"/>
        </w:tabs>
        <w:spacing w:before="120" w:after="120"/>
        <w:jc w:val="center"/>
        <w:rPr>
          <w:rFonts w:ascii="宋体"/>
          <w:b/>
          <w:sz w:val="36"/>
          <w:szCs w:val="36"/>
        </w:rPr>
      </w:pPr>
      <w:r>
        <w:rPr>
          <w:rFonts w:ascii="宋体"/>
          <w:b/>
          <w:sz w:val="36"/>
          <w:szCs w:val="36"/>
        </w:rPr>
        <w:drawing>
          <wp:inline distT="0" distB="0" distL="0" distR="0">
            <wp:extent cx="5219700" cy="1447800"/>
            <wp:effectExtent l="0" t="0" r="0" b="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19700" cy="1447800"/>
                    </a:xfrm>
                    <a:prstGeom prst="rect">
                      <a:avLst/>
                    </a:prstGeom>
                    <a:noFill/>
                    <a:ln>
                      <a:noFill/>
                    </a:ln>
                  </pic:spPr>
                </pic:pic>
              </a:graphicData>
            </a:graphic>
          </wp:inline>
        </w:drawing>
      </w:r>
    </w:p>
    <w:p>
      <w:pPr>
        <w:tabs>
          <w:tab w:val="left" w:pos="3125"/>
        </w:tabs>
        <w:spacing w:before="120" w:after="120"/>
        <w:ind w:firstLine="560"/>
        <w:jc w:val="center"/>
        <w:rPr>
          <w:rFonts w:ascii="宋体"/>
          <w:b/>
          <w:sz w:val="44"/>
          <w:szCs w:val="44"/>
        </w:rPr>
      </w:pPr>
    </w:p>
    <w:p>
      <w:pPr>
        <w:tabs>
          <w:tab w:val="left" w:pos="3125"/>
        </w:tabs>
        <w:spacing w:before="120" w:after="120"/>
        <w:ind w:firstLine="560"/>
        <w:jc w:val="center"/>
        <w:rPr>
          <w:rFonts w:ascii="宋体"/>
          <w:b/>
          <w:sz w:val="44"/>
          <w:szCs w:val="44"/>
        </w:rPr>
      </w:pPr>
    </w:p>
    <w:p>
      <w:pPr>
        <w:tabs>
          <w:tab w:val="left" w:pos="3125"/>
        </w:tabs>
        <w:spacing w:before="120" w:after="120"/>
        <w:jc w:val="center"/>
        <w:rPr>
          <w:rFonts w:ascii="宋体"/>
          <w:b/>
          <w:sz w:val="48"/>
          <w:szCs w:val="48"/>
        </w:rPr>
      </w:pPr>
      <w:r>
        <w:rPr>
          <w:rFonts w:hint="eastAsia" w:ascii="宋体" w:hAnsi="宋体"/>
          <w:b/>
          <w:sz w:val="48"/>
          <w:szCs w:val="48"/>
        </w:rPr>
        <w:t>申请加入联盟的</w:t>
      </w:r>
    </w:p>
    <w:p>
      <w:pPr>
        <w:tabs>
          <w:tab w:val="left" w:pos="3125"/>
        </w:tabs>
        <w:spacing w:before="120" w:after="120"/>
        <w:jc w:val="center"/>
        <w:rPr>
          <w:rFonts w:ascii="宋体"/>
          <w:b/>
          <w:sz w:val="48"/>
          <w:szCs w:val="48"/>
        </w:rPr>
      </w:pPr>
      <w:r>
        <w:rPr>
          <w:rFonts w:hint="eastAsia" w:ascii="宋体" w:hAnsi="宋体"/>
          <w:b/>
          <w:sz w:val="48"/>
          <w:szCs w:val="48"/>
        </w:rPr>
        <w:t>第五十</w:t>
      </w:r>
      <w:r>
        <w:rPr>
          <w:rFonts w:hint="eastAsia" w:ascii="宋体" w:hAnsi="宋体"/>
          <w:b/>
          <w:sz w:val="48"/>
          <w:szCs w:val="48"/>
          <w:lang w:val="en-US" w:eastAsia="zh-CN"/>
        </w:rPr>
        <w:t>八</w:t>
      </w:r>
      <w:r>
        <w:rPr>
          <w:rFonts w:hint="eastAsia" w:ascii="宋体" w:hAnsi="宋体"/>
          <w:b/>
          <w:sz w:val="48"/>
          <w:szCs w:val="48"/>
        </w:rPr>
        <w:t>批会员清单</w:t>
      </w:r>
    </w:p>
    <w:p>
      <w:pPr>
        <w:tabs>
          <w:tab w:val="left" w:pos="3125"/>
        </w:tabs>
        <w:spacing w:before="120" w:after="120"/>
        <w:ind w:firstLine="560"/>
        <w:jc w:val="center"/>
        <w:rPr>
          <w:rFonts w:ascii="宋体"/>
          <w:b/>
          <w:sz w:val="30"/>
          <w:szCs w:val="30"/>
          <w:u w:val="single"/>
        </w:rPr>
      </w:pPr>
      <w:r>
        <w:rPr>
          <w:rFonts w:hint="eastAsia" w:ascii="宋体" w:hAnsi="宋体"/>
          <w:b/>
          <w:sz w:val="30"/>
          <w:szCs w:val="30"/>
          <w:u w:val="single"/>
        </w:rPr>
        <w:t>（申请日期：</w:t>
      </w:r>
      <w:r>
        <w:rPr>
          <w:rFonts w:ascii="宋体" w:hAnsi="宋体"/>
          <w:b/>
          <w:sz w:val="30"/>
          <w:szCs w:val="30"/>
          <w:u w:val="single"/>
        </w:rPr>
        <w:t>202</w:t>
      </w:r>
      <w:r>
        <w:rPr>
          <w:rFonts w:hint="eastAsia" w:ascii="宋体" w:hAnsi="宋体"/>
          <w:b/>
          <w:sz w:val="30"/>
          <w:szCs w:val="30"/>
          <w:u w:val="single"/>
        </w:rPr>
        <w:t>1年</w:t>
      </w:r>
      <w:r>
        <w:rPr>
          <w:rFonts w:hint="eastAsia" w:ascii="宋体" w:hAnsi="宋体"/>
          <w:b/>
          <w:sz w:val="30"/>
          <w:szCs w:val="30"/>
          <w:u w:val="single"/>
          <w:lang w:val="en-US" w:eastAsia="zh-CN"/>
        </w:rPr>
        <w:t>12</w:t>
      </w:r>
      <w:r>
        <w:rPr>
          <w:rFonts w:hint="eastAsia" w:ascii="宋体" w:hAnsi="宋体"/>
          <w:b/>
          <w:sz w:val="30"/>
          <w:szCs w:val="30"/>
          <w:u w:val="single"/>
        </w:rPr>
        <w:t>月</w:t>
      </w:r>
      <w:r>
        <w:rPr>
          <w:rFonts w:hint="eastAsia" w:ascii="宋体" w:hAnsi="宋体"/>
          <w:b/>
          <w:sz w:val="30"/>
          <w:szCs w:val="30"/>
          <w:u w:val="single"/>
          <w:lang w:val="en-US" w:eastAsia="zh-CN"/>
        </w:rPr>
        <w:t>1</w:t>
      </w:r>
      <w:r>
        <w:rPr>
          <w:rFonts w:hint="eastAsia" w:ascii="宋体" w:hAnsi="宋体"/>
          <w:b/>
          <w:sz w:val="30"/>
          <w:szCs w:val="30"/>
          <w:u w:val="single"/>
        </w:rPr>
        <w:t>日</w:t>
      </w:r>
      <w:r>
        <w:rPr>
          <w:rFonts w:ascii="宋体" w:hAnsi="宋体"/>
          <w:b/>
          <w:sz w:val="30"/>
          <w:szCs w:val="30"/>
          <w:u w:val="single"/>
        </w:rPr>
        <w:t>-202</w:t>
      </w:r>
      <w:r>
        <w:rPr>
          <w:rFonts w:hint="eastAsia" w:ascii="宋体" w:hAnsi="宋体"/>
          <w:b/>
          <w:sz w:val="30"/>
          <w:szCs w:val="30"/>
          <w:u w:val="single"/>
          <w:lang w:val="en-US" w:eastAsia="zh-CN"/>
        </w:rPr>
        <w:t>2</w:t>
      </w:r>
      <w:r>
        <w:rPr>
          <w:rFonts w:hint="eastAsia" w:ascii="宋体" w:hAnsi="宋体"/>
          <w:b/>
          <w:sz w:val="30"/>
          <w:szCs w:val="30"/>
          <w:u w:val="single"/>
        </w:rPr>
        <w:t>年</w:t>
      </w:r>
      <w:r>
        <w:rPr>
          <w:rFonts w:hint="eastAsia" w:ascii="宋体" w:hAnsi="宋体"/>
          <w:b/>
          <w:sz w:val="30"/>
          <w:szCs w:val="30"/>
          <w:u w:val="single"/>
          <w:lang w:val="en-US" w:eastAsia="zh-CN"/>
        </w:rPr>
        <w:t>1</w:t>
      </w:r>
      <w:r>
        <w:rPr>
          <w:rFonts w:hint="eastAsia" w:ascii="宋体" w:hAnsi="宋体"/>
          <w:b/>
          <w:sz w:val="30"/>
          <w:szCs w:val="30"/>
          <w:u w:val="single"/>
        </w:rPr>
        <w:t>月</w:t>
      </w:r>
      <w:r>
        <w:rPr>
          <w:rFonts w:hint="eastAsia" w:ascii="宋体" w:hAnsi="宋体"/>
          <w:b/>
          <w:sz w:val="30"/>
          <w:szCs w:val="30"/>
          <w:u w:val="single"/>
          <w:lang w:val="en-US" w:eastAsia="zh-CN"/>
        </w:rPr>
        <w:t>7</w:t>
      </w:r>
      <w:r>
        <w:rPr>
          <w:rFonts w:hint="eastAsia" w:ascii="宋体" w:hAnsi="宋体"/>
          <w:b/>
          <w:sz w:val="30"/>
          <w:szCs w:val="30"/>
          <w:u w:val="single"/>
        </w:rPr>
        <w:t>日）</w:t>
      </w:r>
    </w:p>
    <w:p>
      <w:pPr>
        <w:tabs>
          <w:tab w:val="left" w:pos="3125"/>
        </w:tabs>
        <w:spacing w:before="120" w:after="120"/>
        <w:ind w:firstLine="560"/>
        <w:jc w:val="center"/>
        <w:rPr>
          <w:rFonts w:ascii="宋体"/>
          <w:sz w:val="30"/>
          <w:szCs w:val="30"/>
        </w:rPr>
      </w:pPr>
    </w:p>
    <w:p>
      <w:pPr>
        <w:tabs>
          <w:tab w:val="left" w:pos="3125"/>
        </w:tabs>
        <w:snapToGrid w:val="0"/>
        <w:spacing w:line="360" w:lineRule="auto"/>
        <w:rPr>
          <w:rFonts w:ascii="宋体"/>
          <w:sz w:val="32"/>
          <w:szCs w:val="32"/>
        </w:rPr>
      </w:pPr>
    </w:p>
    <w:p>
      <w:pPr>
        <w:tabs>
          <w:tab w:val="left" w:pos="3125"/>
        </w:tabs>
        <w:snapToGrid w:val="0"/>
        <w:spacing w:line="360" w:lineRule="auto"/>
        <w:rPr>
          <w:rFonts w:ascii="宋体"/>
          <w:sz w:val="32"/>
          <w:szCs w:val="32"/>
        </w:rPr>
      </w:pPr>
    </w:p>
    <w:p>
      <w:pPr>
        <w:tabs>
          <w:tab w:val="left" w:pos="3125"/>
        </w:tabs>
        <w:snapToGrid w:val="0"/>
        <w:spacing w:line="360" w:lineRule="auto"/>
        <w:rPr>
          <w:rFonts w:ascii="宋体"/>
          <w:sz w:val="32"/>
          <w:szCs w:val="32"/>
        </w:rPr>
      </w:pPr>
    </w:p>
    <w:p>
      <w:pPr>
        <w:tabs>
          <w:tab w:val="left" w:pos="3125"/>
        </w:tabs>
        <w:snapToGrid w:val="0"/>
        <w:spacing w:line="360" w:lineRule="auto"/>
        <w:rPr>
          <w:rFonts w:ascii="宋体"/>
          <w:sz w:val="32"/>
          <w:szCs w:val="32"/>
        </w:rPr>
      </w:pPr>
    </w:p>
    <w:p>
      <w:pPr>
        <w:tabs>
          <w:tab w:val="left" w:pos="3125"/>
        </w:tabs>
        <w:snapToGrid w:val="0"/>
        <w:spacing w:line="360" w:lineRule="auto"/>
        <w:rPr>
          <w:rFonts w:ascii="宋体"/>
          <w:sz w:val="32"/>
          <w:szCs w:val="32"/>
        </w:rPr>
      </w:pPr>
    </w:p>
    <w:p>
      <w:pPr>
        <w:tabs>
          <w:tab w:val="left" w:pos="3125"/>
        </w:tabs>
        <w:snapToGrid w:val="0"/>
        <w:spacing w:line="360" w:lineRule="auto"/>
        <w:jc w:val="center"/>
        <w:rPr>
          <w:rFonts w:ascii="宋体"/>
          <w:sz w:val="36"/>
          <w:szCs w:val="36"/>
        </w:rPr>
      </w:pPr>
      <w:r>
        <w:rPr>
          <w:rFonts w:hint="eastAsia" w:ascii="宋体" w:hAnsi="宋体"/>
          <w:sz w:val="36"/>
          <w:szCs w:val="36"/>
        </w:rPr>
        <w:t>工业互联网产业联盟秘书处</w:t>
      </w:r>
    </w:p>
    <w:p>
      <w:pPr>
        <w:tabs>
          <w:tab w:val="left" w:pos="3125"/>
        </w:tabs>
        <w:snapToGrid w:val="0"/>
        <w:spacing w:line="360" w:lineRule="auto"/>
        <w:jc w:val="center"/>
        <w:rPr>
          <w:rFonts w:ascii="宋体"/>
          <w:sz w:val="36"/>
          <w:szCs w:val="36"/>
        </w:rPr>
      </w:pPr>
      <w:r>
        <w:rPr>
          <w:rFonts w:ascii="宋体" w:hAnsi="宋体"/>
          <w:sz w:val="36"/>
          <w:szCs w:val="36"/>
        </w:rPr>
        <w:t>202</w:t>
      </w:r>
      <w:r>
        <w:rPr>
          <w:rFonts w:hint="eastAsia" w:ascii="宋体" w:hAnsi="宋体"/>
          <w:sz w:val="36"/>
          <w:szCs w:val="36"/>
          <w:lang w:val="en-US" w:eastAsia="zh-CN"/>
        </w:rPr>
        <w:t>2</w:t>
      </w:r>
      <w:r>
        <w:rPr>
          <w:rFonts w:hint="eastAsia" w:ascii="宋体" w:hAnsi="宋体"/>
          <w:sz w:val="36"/>
          <w:szCs w:val="36"/>
        </w:rPr>
        <w:t>年</w:t>
      </w:r>
      <w:r>
        <w:rPr>
          <w:rFonts w:hint="eastAsia" w:ascii="宋体" w:hAnsi="宋体"/>
          <w:sz w:val="36"/>
          <w:szCs w:val="36"/>
          <w:lang w:val="en-US" w:eastAsia="zh-CN"/>
        </w:rPr>
        <w:t>1</w:t>
      </w:r>
      <w:r>
        <w:rPr>
          <w:rFonts w:hint="eastAsia" w:ascii="宋体" w:hAnsi="宋体"/>
          <w:sz w:val="36"/>
          <w:szCs w:val="36"/>
        </w:rPr>
        <w:t>月</w:t>
      </w:r>
      <w:r>
        <w:rPr>
          <w:rFonts w:hint="eastAsia" w:ascii="宋体" w:hAnsi="宋体"/>
          <w:sz w:val="36"/>
          <w:szCs w:val="36"/>
          <w:lang w:val="en-US" w:eastAsia="zh-CN"/>
        </w:rPr>
        <w:t>7</w:t>
      </w:r>
      <w:r>
        <w:rPr>
          <w:rFonts w:hint="eastAsia" w:ascii="宋体" w:hAnsi="宋体"/>
          <w:sz w:val="36"/>
          <w:szCs w:val="36"/>
        </w:rPr>
        <w:t>日</w:t>
      </w:r>
    </w:p>
    <w:p>
      <w:pPr>
        <w:jc w:val="center"/>
        <w:rPr>
          <w:rFonts w:ascii="宋体"/>
          <w:color w:val="000000"/>
          <w:sz w:val="28"/>
        </w:rPr>
        <w:sectPr>
          <w:headerReference r:id="rId6" w:type="first"/>
          <w:headerReference r:id="rId5" w:type="default"/>
          <w:footerReference r:id="rId7" w:type="default"/>
          <w:pgSz w:w="11906" w:h="16838"/>
          <w:pgMar w:top="1985" w:right="1800" w:bottom="1440" w:left="1800" w:header="851" w:footer="992" w:gutter="0"/>
          <w:pgNumType w:fmt="upperRoman" w:start="1"/>
          <w:cols w:space="425" w:num="1"/>
          <w:titlePg/>
          <w:docGrid w:type="lines" w:linePitch="312" w:charSpace="0"/>
        </w:sectPr>
      </w:pPr>
    </w:p>
    <w:p>
      <w:pPr>
        <w:jc w:val="center"/>
        <w:rPr>
          <w:rFonts w:ascii="宋体"/>
          <w:b/>
          <w:color w:val="000000"/>
          <w:sz w:val="36"/>
        </w:rPr>
      </w:pP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录</w:t>
      </w:r>
    </w:p>
    <w:p>
      <w:pPr>
        <w:spacing w:after="0" w:line="240" w:lineRule="auto"/>
        <w:jc w:val="center"/>
      </w:pPr>
    </w:p>
    <w:p>
      <w:pPr>
        <w:pStyle w:val="17"/>
        <w:tabs>
          <w:tab w:val="right" w:leader="dot" w:pos="8306"/>
          <w:tab w:val="clear" w:pos="8296"/>
        </w:tabs>
      </w:pPr>
      <w:r>
        <w:fldChar w:fldCharType="begin"/>
      </w:r>
      <w:r>
        <w:instrText xml:space="preserve"> TOC \o "1-3" \h \z \u </w:instrText>
      </w:r>
      <w:r>
        <w:fldChar w:fldCharType="separate"/>
      </w:r>
      <w:r>
        <w:fldChar w:fldCharType="begin"/>
      </w:r>
      <w:r>
        <w:instrText xml:space="preserve"> HYPERLINK \l _Toc14347 </w:instrText>
      </w:r>
      <w:r>
        <w:fldChar w:fldCharType="separate"/>
      </w:r>
      <w:r>
        <w:rPr>
          <w:rFonts w:hint="eastAsia" w:ascii="仿宋" w:hAnsi="仿宋" w:eastAsia="仿宋"/>
          <w:szCs w:val="32"/>
        </w:rPr>
        <w:t>一、企业名单</w:t>
      </w:r>
      <w:r>
        <w:tab/>
      </w:r>
      <w:r>
        <w:fldChar w:fldCharType="begin"/>
      </w:r>
      <w:r>
        <w:instrText xml:space="preserve"> PAGEREF _Toc14347 \h </w:instrText>
      </w:r>
      <w:r>
        <w:fldChar w:fldCharType="separate"/>
      </w:r>
      <w:r>
        <w:t>1</w:t>
      </w:r>
      <w:r>
        <w:fldChar w:fldCharType="end"/>
      </w:r>
      <w:r>
        <w:fldChar w:fldCharType="end"/>
      </w:r>
    </w:p>
    <w:p>
      <w:pPr>
        <w:pStyle w:val="22"/>
        <w:tabs>
          <w:tab w:val="right" w:leader="dot" w:pos="8306"/>
          <w:tab w:val="clear" w:pos="8296"/>
        </w:tabs>
      </w:pPr>
      <w:r>
        <w:fldChar w:fldCharType="begin"/>
      </w:r>
      <w:r>
        <w:instrText xml:space="preserve"> HYPERLINK \l _Toc6044 </w:instrText>
      </w:r>
      <w:r>
        <w:fldChar w:fldCharType="separate"/>
      </w:r>
      <w:r>
        <w:rPr>
          <w:rFonts w:hint="default" w:ascii="仿宋" w:hAnsi="仿宋" w:eastAsia="仿宋"/>
          <w:bCs w:val="0"/>
          <w:szCs w:val="30"/>
        </w:rPr>
        <w:t xml:space="preserve">（一） </w:t>
      </w:r>
      <w:r>
        <w:rPr>
          <w:rFonts w:hint="eastAsia" w:ascii="仿宋" w:hAnsi="仿宋" w:eastAsia="仿宋"/>
          <w:bCs w:val="0"/>
          <w:szCs w:val="30"/>
        </w:rPr>
        <w:t>工业企业（</w:t>
      </w:r>
      <w:r>
        <w:rPr>
          <w:rFonts w:hint="eastAsia" w:ascii="仿宋" w:hAnsi="仿宋" w:eastAsia="仿宋"/>
          <w:bCs w:val="0"/>
          <w:szCs w:val="30"/>
          <w:lang w:val="en-US" w:eastAsia="zh-CN"/>
        </w:rPr>
        <w:t>4</w:t>
      </w:r>
      <w:r>
        <w:rPr>
          <w:rFonts w:hint="eastAsia" w:ascii="仿宋" w:hAnsi="仿宋" w:eastAsia="仿宋"/>
          <w:bCs w:val="0"/>
          <w:szCs w:val="30"/>
        </w:rPr>
        <w:t>家）</w:t>
      </w:r>
      <w:r>
        <w:tab/>
      </w:r>
      <w:r>
        <w:fldChar w:fldCharType="begin"/>
      </w:r>
      <w:r>
        <w:instrText xml:space="preserve"> PAGEREF _Toc6044 \h </w:instrText>
      </w:r>
      <w:r>
        <w:fldChar w:fldCharType="separate"/>
      </w:r>
      <w:r>
        <w:t>1</w:t>
      </w:r>
      <w:r>
        <w:fldChar w:fldCharType="end"/>
      </w:r>
      <w:r>
        <w:fldChar w:fldCharType="end"/>
      </w:r>
    </w:p>
    <w:p>
      <w:pPr>
        <w:pStyle w:val="22"/>
        <w:tabs>
          <w:tab w:val="right" w:leader="dot" w:pos="8306"/>
          <w:tab w:val="clear" w:pos="8296"/>
        </w:tabs>
      </w:pPr>
      <w:r>
        <w:fldChar w:fldCharType="begin"/>
      </w:r>
      <w:r>
        <w:instrText xml:space="preserve"> HYPERLINK \l _Toc19597 </w:instrText>
      </w:r>
      <w:r>
        <w:fldChar w:fldCharType="separate"/>
      </w:r>
      <w:r>
        <w:rPr>
          <w:rFonts w:hint="eastAsia" w:ascii="仿宋" w:hAnsi="仿宋" w:eastAsia="仿宋"/>
          <w:bCs w:val="0"/>
          <w:szCs w:val="30"/>
        </w:rPr>
        <w:t>（二）工</w:t>
      </w:r>
      <w:bookmarkStart w:id="41" w:name="_GoBack"/>
      <w:bookmarkEnd w:id="41"/>
      <w:r>
        <w:rPr>
          <w:rFonts w:hint="eastAsia" w:ascii="仿宋" w:hAnsi="仿宋" w:eastAsia="仿宋"/>
          <w:bCs w:val="0"/>
          <w:szCs w:val="30"/>
        </w:rPr>
        <w:t>业解决方案提供商（</w:t>
      </w:r>
      <w:r>
        <w:rPr>
          <w:rFonts w:hint="eastAsia" w:ascii="仿宋" w:hAnsi="仿宋" w:eastAsia="仿宋"/>
          <w:bCs w:val="0"/>
          <w:szCs w:val="30"/>
          <w:lang w:val="en-US" w:eastAsia="zh-CN"/>
        </w:rPr>
        <w:t>25</w:t>
      </w:r>
      <w:r>
        <w:rPr>
          <w:rFonts w:hint="eastAsia" w:ascii="仿宋" w:hAnsi="仿宋" w:eastAsia="仿宋"/>
          <w:bCs w:val="0"/>
          <w:szCs w:val="30"/>
        </w:rPr>
        <w:t>家）</w:t>
      </w:r>
      <w:r>
        <w:tab/>
      </w:r>
      <w:r>
        <w:fldChar w:fldCharType="begin"/>
      </w:r>
      <w:r>
        <w:instrText xml:space="preserve"> PAGEREF _Toc19597 \h </w:instrText>
      </w:r>
      <w:r>
        <w:fldChar w:fldCharType="separate"/>
      </w:r>
      <w:r>
        <w:t>1</w:t>
      </w:r>
      <w:r>
        <w:fldChar w:fldCharType="end"/>
      </w:r>
      <w:r>
        <w:fldChar w:fldCharType="end"/>
      </w:r>
    </w:p>
    <w:p>
      <w:pPr>
        <w:pStyle w:val="22"/>
        <w:tabs>
          <w:tab w:val="right" w:leader="dot" w:pos="8306"/>
          <w:tab w:val="clear" w:pos="8296"/>
        </w:tabs>
      </w:pPr>
      <w:r>
        <w:fldChar w:fldCharType="begin"/>
      </w:r>
      <w:r>
        <w:instrText xml:space="preserve"> HYPERLINK \l _Toc3768 </w:instrText>
      </w:r>
      <w:r>
        <w:fldChar w:fldCharType="separate"/>
      </w:r>
      <w:r>
        <w:rPr>
          <w:rFonts w:hint="eastAsia" w:ascii="仿宋" w:hAnsi="仿宋" w:eastAsia="仿宋"/>
          <w:bCs w:val="0"/>
          <w:szCs w:val="30"/>
        </w:rPr>
        <w:t>（三）</w:t>
      </w:r>
      <w:r>
        <w:rPr>
          <w:rFonts w:hint="eastAsia" w:ascii="仿宋" w:hAnsi="仿宋" w:eastAsia="仿宋"/>
          <w:bCs w:val="0"/>
          <w:szCs w:val="30"/>
          <w:lang w:val="en-US" w:eastAsia="zh-CN"/>
        </w:rPr>
        <w:t>信息通信企业（2家）</w:t>
      </w:r>
      <w:r>
        <w:tab/>
      </w:r>
      <w:r>
        <w:fldChar w:fldCharType="begin"/>
      </w:r>
      <w:r>
        <w:instrText xml:space="preserve"> PAGEREF _Toc3768 \h </w:instrText>
      </w:r>
      <w:r>
        <w:fldChar w:fldCharType="separate"/>
      </w:r>
      <w:r>
        <w:t>3</w:t>
      </w:r>
      <w:r>
        <w:fldChar w:fldCharType="end"/>
      </w:r>
      <w:r>
        <w:fldChar w:fldCharType="end"/>
      </w:r>
    </w:p>
    <w:p>
      <w:pPr>
        <w:pStyle w:val="22"/>
        <w:tabs>
          <w:tab w:val="right" w:leader="dot" w:pos="8306"/>
          <w:tab w:val="clear" w:pos="8296"/>
        </w:tabs>
      </w:pPr>
      <w:r>
        <w:fldChar w:fldCharType="begin"/>
      </w:r>
      <w:r>
        <w:instrText xml:space="preserve"> HYPERLINK \l _Toc20847 </w:instrText>
      </w:r>
      <w:r>
        <w:fldChar w:fldCharType="separate"/>
      </w:r>
      <w:r>
        <w:rPr>
          <w:rFonts w:hint="eastAsia" w:ascii="仿宋" w:hAnsi="仿宋" w:eastAsia="仿宋"/>
          <w:bCs w:val="0"/>
          <w:szCs w:val="30"/>
        </w:rPr>
        <w:t>（</w:t>
      </w:r>
      <w:r>
        <w:rPr>
          <w:rFonts w:hint="eastAsia" w:ascii="仿宋" w:hAnsi="仿宋" w:eastAsia="仿宋"/>
          <w:bCs w:val="0"/>
          <w:szCs w:val="30"/>
          <w:lang w:val="en-US" w:eastAsia="zh-CN"/>
        </w:rPr>
        <w:t>四</w:t>
      </w:r>
      <w:r>
        <w:rPr>
          <w:rFonts w:hint="eastAsia" w:ascii="仿宋" w:hAnsi="仿宋" w:eastAsia="仿宋"/>
          <w:bCs w:val="0"/>
          <w:szCs w:val="30"/>
        </w:rPr>
        <w:t>）</w:t>
      </w:r>
      <w:r>
        <w:rPr>
          <w:rFonts w:hint="eastAsia" w:ascii="仿宋" w:hAnsi="仿宋" w:eastAsia="仿宋"/>
          <w:bCs w:val="0"/>
          <w:szCs w:val="30"/>
          <w:lang w:val="en-US" w:eastAsia="zh-CN"/>
        </w:rPr>
        <w:t>高校及科研院所</w:t>
      </w:r>
      <w:r>
        <w:rPr>
          <w:rFonts w:hint="eastAsia" w:ascii="仿宋" w:hAnsi="仿宋" w:eastAsia="仿宋"/>
          <w:bCs w:val="0"/>
          <w:szCs w:val="30"/>
        </w:rPr>
        <w:t>（</w:t>
      </w:r>
      <w:r>
        <w:rPr>
          <w:rFonts w:hint="eastAsia" w:ascii="仿宋" w:hAnsi="仿宋" w:eastAsia="仿宋"/>
          <w:bCs w:val="0"/>
          <w:szCs w:val="30"/>
          <w:lang w:val="en-US" w:eastAsia="zh-CN"/>
        </w:rPr>
        <w:t>1</w:t>
      </w:r>
      <w:r>
        <w:rPr>
          <w:rFonts w:hint="eastAsia" w:ascii="仿宋" w:hAnsi="仿宋" w:eastAsia="仿宋"/>
          <w:bCs w:val="0"/>
          <w:szCs w:val="30"/>
        </w:rPr>
        <w:t>家）</w:t>
      </w:r>
      <w:r>
        <w:tab/>
      </w:r>
      <w:r>
        <w:fldChar w:fldCharType="begin"/>
      </w:r>
      <w:r>
        <w:instrText xml:space="preserve"> PAGEREF _Toc20847 \h </w:instrText>
      </w:r>
      <w:r>
        <w:fldChar w:fldCharType="separate"/>
      </w:r>
      <w:r>
        <w:t>3</w:t>
      </w:r>
      <w:r>
        <w:fldChar w:fldCharType="end"/>
      </w:r>
      <w:r>
        <w:fldChar w:fldCharType="end"/>
      </w:r>
    </w:p>
    <w:p>
      <w:pPr>
        <w:pStyle w:val="17"/>
        <w:tabs>
          <w:tab w:val="right" w:leader="dot" w:pos="8306"/>
          <w:tab w:val="clear" w:pos="8296"/>
        </w:tabs>
      </w:pPr>
      <w:r>
        <w:fldChar w:fldCharType="begin"/>
      </w:r>
      <w:r>
        <w:instrText xml:space="preserve"> HYPERLINK \l _Toc10516 </w:instrText>
      </w:r>
      <w:r>
        <w:fldChar w:fldCharType="separate"/>
      </w:r>
      <w:r>
        <w:rPr>
          <w:rFonts w:hint="eastAsia" w:ascii="仿宋" w:hAnsi="仿宋" w:eastAsia="仿宋"/>
          <w:szCs w:val="32"/>
        </w:rPr>
        <w:t>二、企业介绍</w:t>
      </w:r>
      <w:r>
        <w:tab/>
      </w:r>
      <w:r>
        <w:fldChar w:fldCharType="begin"/>
      </w:r>
      <w:r>
        <w:instrText xml:space="preserve"> PAGEREF _Toc10516 \h </w:instrText>
      </w:r>
      <w:r>
        <w:fldChar w:fldCharType="separate"/>
      </w:r>
      <w:r>
        <w:t>4</w:t>
      </w:r>
      <w:r>
        <w:fldChar w:fldCharType="end"/>
      </w:r>
      <w:r>
        <w:fldChar w:fldCharType="end"/>
      </w:r>
    </w:p>
    <w:p>
      <w:pPr>
        <w:pStyle w:val="22"/>
        <w:tabs>
          <w:tab w:val="right" w:leader="dot" w:pos="8306"/>
          <w:tab w:val="clear" w:pos="8296"/>
        </w:tabs>
      </w:pPr>
      <w:r>
        <w:fldChar w:fldCharType="begin"/>
      </w:r>
      <w:r>
        <w:instrText xml:space="preserve"> HYPERLINK \l _Toc20605 </w:instrText>
      </w:r>
      <w:r>
        <w:fldChar w:fldCharType="separate"/>
      </w:r>
      <w:r>
        <w:rPr>
          <w:rFonts w:ascii="仿宋" w:hAnsi="仿宋" w:eastAsia="仿宋"/>
          <w:bCs w:val="0"/>
          <w:szCs w:val="30"/>
        </w:rPr>
        <w:t xml:space="preserve">1. </w:t>
      </w:r>
      <w:r>
        <w:rPr>
          <w:rFonts w:hint="eastAsia" w:ascii="仿宋" w:hAnsi="仿宋" w:eastAsia="仿宋"/>
          <w:bCs w:val="0"/>
          <w:szCs w:val="30"/>
          <w:highlight w:val="none"/>
        </w:rPr>
        <w:t>天津市迅尔仪表科技有限公司</w:t>
      </w:r>
      <w:r>
        <w:tab/>
      </w:r>
      <w:r>
        <w:fldChar w:fldCharType="begin"/>
      </w:r>
      <w:r>
        <w:instrText xml:space="preserve"> PAGEREF _Toc20605 \h </w:instrText>
      </w:r>
      <w:r>
        <w:fldChar w:fldCharType="separate"/>
      </w:r>
      <w:r>
        <w:t>4</w:t>
      </w:r>
      <w:r>
        <w:fldChar w:fldCharType="end"/>
      </w:r>
      <w:r>
        <w:fldChar w:fldCharType="end"/>
      </w:r>
    </w:p>
    <w:p>
      <w:pPr>
        <w:pStyle w:val="22"/>
        <w:tabs>
          <w:tab w:val="right" w:leader="dot" w:pos="8306"/>
          <w:tab w:val="clear" w:pos="8296"/>
        </w:tabs>
      </w:pPr>
      <w:r>
        <w:fldChar w:fldCharType="begin"/>
      </w:r>
      <w:r>
        <w:instrText xml:space="preserve"> HYPERLINK \l _Toc26152 </w:instrText>
      </w:r>
      <w:r>
        <w:fldChar w:fldCharType="separate"/>
      </w:r>
      <w:r>
        <w:rPr>
          <w:rFonts w:ascii="仿宋" w:hAnsi="仿宋" w:eastAsia="仿宋"/>
          <w:bCs w:val="0"/>
          <w:szCs w:val="30"/>
        </w:rPr>
        <w:t xml:space="preserve">2. </w:t>
      </w:r>
      <w:r>
        <w:rPr>
          <w:rFonts w:hint="eastAsia" w:ascii="仿宋" w:hAnsi="仿宋" w:eastAsia="仿宋"/>
          <w:bCs w:val="0"/>
          <w:szCs w:val="30"/>
          <w:highlight w:val="none"/>
        </w:rPr>
        <w:t>厦门赛尔特电子有限公司</w:t>
      </w:r>
      <w:r>
        <w:tab/>
      </w:r>
      <w:r>
        <w:fldChar w:fldCharType="begin"/>
      </w:r>
      <w:r>
        <w:instrText xml:space="preserve"> PAGEREF _Toc26152 \h </w:instrText>
      </w:r>
      <w:r>
        <w:fldChar w:fldCharType="separate"/>
      </w:r>
      <w:r>
        <w:t>4</w:t>
      </w:r>
      <w:r>
        <w:fldChar w:fldCharType="end"/>
      </w:r>
      <w:r>
        <w:fldChar w:fldCharType="end"/>
      </w:r>
    </w:p>
    <w:p>
      <w:pPr>
        <w:pStyle w:val="22"/>
        <w:tabs>
          <w:tab w:val="right" w:leader="dot" w:pos="8306"/>
          <w:tab w:val="clear" w:pos="8296"/>
        </w:tabs>
      </w:pPr>
      <w:r>
        <w:fldChar w:fldCharType="begin"/>
      </w:r>
      <w:r>
        <w:instrText xml:space="preserve"> HYPERLINK \l _Toc31912 </w:instrText>
      </w:r>
      <w:r>
        <w:fldChar w:fldCharType="separate"/>
      </w:r>
      <w:r>
        <w:rPr>
          <w:rFonts w:hint="eastAsia" w:ascii="仿宋" w:hAnsi="仿宋" w:eastAsia="仿宋"/>
          <w:bCs w:val="0"/>
          <w:szCs w:val="30"/>
        </w:rPr>
        <w:t xml:space="preserve">3. </w:t>
      </w:r>
      <w:r>
        <w:rPr>
          <w:rFonts w:hint="eastAsia" w:ascii="仿宋" w:hAnsi="仿宋" w:eastAsia="仿宋"/>
          <w:bCs w:val="0"/>
          <w:szCs w:val="30"/>
          <w:highlight w:val="none"/>
        </w:rPr>
        <w:t>费森尤斯医疗投资（中国）有限公司</w:t>
      </w:r>
      <w:r>
        <w:tab/>
      </w:r>
      <w:r>
        <w:fldChar w:fldCharType="begin"/>
      </w:r>
      <w:r>
        <w:instrText xml:space="preserve"> PAGEREF _Toc31912 \h </w:instrText>
      </w:r>
      <w:r>
        <w:fldChar w:fldCharType="separate"/>
      </w:r>
      <w:r>
        <w:t>5</w:t>
      </w:r>
      <w:r>
        <w:fldChar w:fldCharType="end"/>
      </w:r>
      <w:r>
        <w:fldChar w:fldCharType="end"/>
      </w:r>
    </w:p>
    <w:p>
      <w:pPr>
        <w:pStyle w:val="22"/>
        <w:tabs>
          <w:tab w:val="right" w:leader="dot" w:pos="8306"/>
          <w:tab w:val="clear" w:pos="8296"/>
        </w:tabs>
      </w:pPr>
      <w:r>
        <w:fldChar w:fldCharType="begin"/>
      </w:r>
      <w:r>
        <w:instrText xml:space="preserve"> HYPERLINK \l _Toc276 </w:instrText>
      </w:r>
      <w:r>
        <w:fldChar w:fldCharType="separate"/>
      </w:r>
      <w:r>
        <w:rPr>
          <w:rFonts w:hint="eastAsia" w:ascii="仿宋" w:hAnsi="仿宋" w:eastAsia="仿宋"/>
          <w:bCs w:val="0"/>
          <w:szCs w:val="30"/>
        </w:rPr>
        <w:t xml:space="preserve">4. </w:t>
      </w:r>
      <w:r>
        <w:rPr>
          <w:rFonts w:hint="eastAsia" w:ascii="仿宋" w:hAnsi="仿宋" w:eastAsia="仿宋"/>
          <w:bCs w:val="0"/>
          <w:szCs w:val="30"/>
          <w:highlight w:val="none"/>
        </w:rPr>
        <w:t>万华禾香生态科技股份有限公司</w:t>
      </w:r>
      <w:r>
        <w:tab/>
      </w:r>
      <w:r>
        <w:fldChar w:fldCharType="begin"/>
      </w:r>
      <w:r>
        <w:instrText xml:space="preserve"> PAGEREF _Toc276 \h </w:instrText>
      </w:r>
      <w:r>
        <w:fldChar w:fldCharType="separate"/>
      </w:r>
      <w:r>
        <w:t>6</w:t>
      </w:r>
      <w:r>
        <w:fldChar w:fldCharType="end"/>
      </w:r>
      <w:r>
        <w:fldChar w:fldCharType="end"/>
      </w:r>
    </w:p>
    <w:p>
      <w:pPr>
        <w:pStyle w:val="22"/>
        <w:tabs>
          <w:tab w:val="right" w:leader="dot" w:pos="8306"/>
          <w:tab w:val="clear" w:pos="8296"/>
        </w:tabs>
      </w:pPr>
      <w:r>
        <w:fldChar w:fldCharType="begin"/>
      </w:r>
      <w:r>
        <w:instrText xml:space="preserve"> HYPERLINK \l _Toc28855 </w:instrText>
      </w:r>
      <w:r>
        <w:fldChar w:fldCharType="separate"/>
      </w:r>
      <w:r>
        <w:rPr>
          <w:rFonts w:hint="eastAsia" w:ascii="仿宋" w:hAnsi="仿宋" w:eastAsia="仿宋"/>
          <w:bCs w:val="0"/>
          <w:szCs w:val="30"/>
        </w:rPr>
        <w:t xml:space="preserve">5. </w:t>
      </w:r>
      <w:r>
        <w:rPr>
          <w:rFonts w:hint="eastAsia" w:ascii="仿宋" w:hAnsi="仿宋" w:eastAsia="仿宋"/>
          <w:bCs w:val="0"/>
          <w:szCs w:val="30"/>
          <w:highlight w:val="none"/>
        </w:rPr>
        <w:t>南京罕华流体技术有限公司</w:t>
      </w:r>
      <w:r>
        <w:tab/>
      </w:r>
      <w:r>
        <w:fldChar w:fldCharType="begin"/>
      </w:r>
      <w:r>
        <w:instrText xml:space="preserve"> PAGEREF _Toc28855 \h </w:instrText>
      </w:r>
      <w:r>
        <w:fldChar w:fldCharType="separate"/>
      </w:r>
      <w:r>
        <w:t>7</w:t>
      </w:r>
      <w:r>
        <w:fldChar w:fldCharType="end"/>
      </w:r>
      <w:r>
        <w:fldChar w:fldCharType="end"/>
      </w:r>
    </w:p>
    <w:p>
      <w:pPr>
        <w:pStyle w:val="22"/>
        <w:tabs>
          <w:tab w:val="right" w:leader="dot" w:pos="8306"/>
          <w:tab w:val="clear" w:pos="8296"/>
        </w:tabs>
      </w:pPr>
      <w:r>
        <w:fldChar w:fldCharType="begin"/>
      </w:r>
      <w:r>
        <w:instrText xml:space="preserve"> HYPERLINK \l _Toc27911 </w:instrText>
      </w:r>
      <w:r>
        <w:fldChar w:fldCharType="separate"/>
      </w:r>
      <w:r>
        <w:rPr>
          <w:rFonts w:ascii="仿宋" w:hAnsi="仿宋" w:eastAsia="仿宋"/>
          <w:bCs w:val="0"/>
          <w:szCs w:val="30"/>
        </w:rPr>
        <w:t xml:space="preserve">6. </w:t>
      </w:r>
      <w:r>
        <w:rPr>
          <w:rFonts w:hint="eastAsia" w:ascii="仿宋" w:hAnsi="仿宋" w:eastAsia="仿宋"/>
          <w:bCs w:val="0"/>
          <w:szCs w:val="30"/>
          <w:highlight w:val="none"/>
        </w:rPr>
        <w:t>上海世茂物联网科技有限公司</w:t>
      </w:r>
      <w:r>
        <w:tab/>
      </w:r>
      <w:r>
        <w:fldChar w:fldCharType="begin"/>
      </w:r>
      <w:r>
        <w:instrText xml:space="preserve"> PAGEREF _Toc27911 \h </w:instrText>
      </w:r>
      <w:r>
        <w:fldChar w:fldCharType="separate"/>
      </w:r>
      <w:r>
        <w:t>7</w:t>
      </w:r>
      <w:r>
        <w:fldChar w:fldCharType="end"/>
      </w:r>
      <w:r>
        <w:fldChar w:fldCharType="end"/>
      </w:r>
    </w:p>
    <w:p>
      <w:pPr>
        <w:pStyle w:val="22"/>
        <w:tabs>
          <w:tab w:val="right" w:leader="dot" w:pos="8306"/>
          <w:tab w:val="clear" w:pos="8296"/>
        </w:tabs>
      </w:pPr>
      <w:r>
        <w:fldChar w:fldCharType="begin"/>
      </w:r>
      <w:r>
        <w:instrText xml:space="preserve"> HYPERLINK \l _Toc4253 </w:instrText>
      </w:r>
      <w:r>
        <w:fldChar w:fldCharType="separate"/>
      </w:r>
      <w:r>
        <w:rPr>
          <w:rFonts w:hint="eastAsia" w:ascii="仿宋" w:hAnsi="仿宋" w:eastAsia="仿宋"/>
          <w:bCs w:val="0"/>
          <w:szCs w:val="30"/>
        </w:rPr>
        <w:t xml:space="preserve">7. </w:t>
      </w:r>
      <w:r>
        <w:rPr>
          <w:rFonts w:hint="eastAsia" w:ascii="仿宋" w:hAnsi="仿宋" w:eastAsia="仿宋"/>
          <w:bCs w:val="0"/>
          <w:szCs w:val="30"/>
          <w:highlight w:val="none"/>
        </w:rPr>
        <w:t>上海远韬软件科技有限公司</w:t>
      </w:r>
      <w:r>
        <w:tab/>
      </w:r>
      <w:r>
        <w:fldChar w:fldCharType="begin"/>
      </w:r>
      <w:r>
        <w:instrText xml:space="preserve"> PAGEREF _Toc4253 \h </w:instrText>
      </w:r>
      <w:r>
        <w:fldChar w:fldCharType="separate"/>
      </w:r>
      <w:r>
        <w:t>8</w:t>
      </w:r>
      <w:r>
        <w:fldChar w:fldCharType="end"/>
      </w:r>
      <w:r>
        <w:fldChar w:fldCharType="end"/>
      </w:r>
    </w:p>
    <w:p>
      <w:pPr>
        <w:pStyle w:val="22"/>
        <w:tabs>
          <w:tab w:val="right" w:leader="dot" w:pos="8306"/>
          <w:tab w:val="clear" w:pos="8296"/>
        </w:tabs>
      </w:pPr>
      <w:r>
        <w:fldChar w:fldCharType="begin"/>
      </w:r>
      <w:r>
        <w:instrText xml:space="preserve"> HYPERLINK \l _Toc11706 </w:instrText>
      </w:r>
      <w:r>
        <w:fldChar w:fldCharType="separate"/>
      </w:r>
      <w:r>
        <w:rPr>
          <w:rFonts w:ascii="仿宋" w:hAnsi="仿宋" w:eastAsia="仿宋"/>
          <w:bCs w:val="0"/>
          <w:szCs w:val="30"/>
        </w:rPr>
        <w:t xml:space="preserve">8. </w:t>
      </w:r>
      <w:r>
        <w:rPr>
          <w:rFonts w:hint="eastAsia" w:ascii="仿宋" w:hAnsi="仿宋" w:eastAsia="仿宋"/>
          <w:bCs w:val="0"/>
          <w:szCs w:val="30"/>
          <w:highlight w:val="none"/>
        </w:rPr>
        <w:t>黑龙江省佳电自研科技开发有限公司</w:t>
      </w:r>
      <w:r>
        <w:tab/>
      </w:r>
      <w:r>
        <w:fldChar w:fldCharType="begin"/>
      </w:r>
      <w:r>
        <w:instrText xml:space="preserve"> PAGEREF _Toc11706 \h </w:instrText>
      </w:r>
      <w:r>
        <w:fldChar w:fldCharType="separate"/>
      </w:r>
      <w:r>
        <w:t>9</w:t>
      </w:r>
      <w:r>
        <w:fldChar w:fldCharType="end"/>
      </w:r>
      <w:r>
        <w:fldChar w:fldCharType="end"/>
      </w:r>
    </w:p>
    <w:p>
      <w:pPr>
        <w:pStyle w:val="22"/>
        <w:tabs>
          <w:tab w:val="right" w:leader="dot" w:pos="8306"/>
          <w:tab w:val="clear" w:pos="8296"/>
        </w:tabs>
      </w:pPr>
      <w:r>
        <w:fldChar w:fldCharType="begin"/>
      </w:r>
      <w:r>
        <w:instrText xml:space="preserve"> HYPERLINK \l _Toc2679 </w:instrText>
      </w:r>
      <w:r>
        <w:fldChar w:fldCharType="separate"/>
      </w:r>
      <w:r>
        <w:rPr>
          <w:rFonts w:ascii="仿宋" w:hAnsi="仿宋" w:eastAsia="仿宋"/>
          <w:bCs w:val="0"/>
          <w:szCs w:val="30"/>
        </w:rPr>
        <w:t xml:space="preserve">9. </w:t>
      </w:r>
      <w:r>
        <w:rPr>
          <w:rFonts w:hint="eastAsia" w:ascii="仿宋" w:hAnsi="仿宋" w:eastAsia="仿宋"/>
          <w:bCs w:val="0"/>
          <w:szCs w:val="30"/>
          <w:highlight w:val="none"/>
        </w:rPr>
        <w:t>万达信息股份有限公司</w:t>
      </w:r>
      <w:r>
        <w:tab/>
      </w:r>
      <w:r>
        <w:fldChar w:fldCharType="begin"/>
      </w:r>
      <w:r>
        <w:instrText xml:space="preserve"> PAGEREF _Toc2679 \h </w:instrText>
      </w:r>
      <w:r>
        <w:fldChar w:fldCharType="separate"/>
      </w:r>
      <w:r>
        <w:t>10</w:t>
      </w:r>
      <w:r>
        <w:fldChar w:fldCharType="end"/>
      </w:r>
      <w:r>
        <w:fldChar w:fldCharType="end"/>
      </w:r>
    </w:p>
    <w:p>
      <w:pPr>
        <w:pStyle w:val="22"/>
        <w:tabs>
          <w:tab w:val="right" w:leader="dot" w:pos="8306"/>
          <w:tab w:val="clear" w:pos="8296"/>
        </w:tabs>
      </w:pPr>
      <w:r>
        <w:fldChar w:fldCharType="begin"/>
      </w:r>
      <w:r>
        <w:instrText xml:space="preserve"> HYPERLINK \l _Toc13561 </w:instrText>
      </w:r>
      <w:r>
        <w:fldChar w:fldCharType="separate"/>
      </w:r>
      <w:r>
        <w:rPr>
          <w:rFonts w:ascii="仿宋" w:hAnsi="仿宋" w:eastAsia="仿宋"/>
          <w:bCs w:val="0"/>
          <w:szCs w:val="30"/>
        </w:rPr>
        <w:t xml:space="preserve">10. </w:t>
      </w:r>
      <w:r>
        <w:rPr>
          <w:rFonts w:hint="eastAsia" w:ascii="仿宋" w:hAnsi="仿宋" w:eastAsia="仿宋"/>
          <w:bCs w:val="0"/>
          <w:szCs w:val="30"/>
          <w:highlight w:val="none"/>
        </w:rPr>
        <w:t>内蒙古伊泰信息技术有限公司</w:t>
      </w:r>
      <w:r>
        <w:tab/>
      </w:r>
      <w:r>
        <w:fldChar w:fldCharType="begin"/>
      </w:r>
      <w:r>
        <w:instrText xml:space="preserve"> PAGEREF _Toc13561 \h </w:instrText>
      </w:r>
      <w:r>
        <w:fldChar w:fldCharType="separate"/>
      </w:r>
      <w:r>
        <w:t>11</w:t>
      </w:r>
      <w:r>
        <w:fldChar w:fldCharType="end"/>
      </w:r>
      <w:r>
        <w:fldChar w:fldCharType="end"/>
      </w:r>
    </w:p>
    <w:p>
      <w:pPr>
        <w:pStyle w:val="22"/>
        <w:tabs>
          <w:tab w:val="right" w:leader="dot" w:pos="8306"/>
          <w:tab w:val="clear" w:pos="8296"/>
        </w:tabs>
      </w:pPr>
      <w:r>
        <w:fldChar w:fldCharType="begin"/>
      </w:r>
      <w:r>
        <w:instrText xml:space="preserve"> HYPERLINK \l _Toc7289 </w:instrText>
      </w:r>
      <w:r>
        <w:fldChar w:fldCharType="separate"/>
      </w:r>
      <w:r>
        <w:rPr>
          <w:rFonts w:ascii="仿宋" w:hAnsi="仿宋" w:eastAsia="仿宋"/>
          <w:bCs w:val="0"/>
          <w:szCs w:val="30"/>
        </w:rPr>
        <w:t xml:space="preserve">11. </w:t>
      </w:r>
      <w:r>
        <w:rPr>
          <w:rFonts w:hint="eastAsia" w:ascii="仿宋" w:hAnsi="仿宋" w:eastAsia="仿宋"/>
          <w:bCs w:val="0"/>
          <w:szCs w:val="30"/>
          <w:highlight w:val="none"/>
        </w:rPr>
        <w:t>成都西加云杉科技有限公司</w:t>
      </w:r>
      <w:r>
        <w:tab/>
      </w:r>
      <w:r>
        <w:fldChar w:fldCharType="begin"/>
      </w:r>
      <w:r>
        <w:instrText xml:space="preserve"> PAGEREF _Toc7289 \h </w:instrText>
      </w:r>
      <w:r>
        <w:fldChar w:fldCharType="separate"/>
      </w:r>
      <w:r>
        <w:t>12</w:t>
      </w:r>
      <w:r>
        <w:fldChar w:fldCharType="end"/>
      </w:r>
      <w:r>
        <w:fldChar w:fldCharType="end"/>
      </w:r>
    </w:p>
    <w:p>
      <w:pPr>
        <w:pStyle w:val="22"/>
        <w:tabs>
          <w:tab w:val="right" w:leader="dot" w:pos="8306"/>
          <w:tab w:val="clear" w:pos="8296"/>
        </w:tabs>
      </w:pPr>
      <w:r>
        <w:fldChar w:fldCharType="begin"/>
      </w:r>
      <w:r>
        <w:instrText xml:space="preserve"> HYPERLINK \l _Toc30036 </w:instrText>
      </w:r>
      <w:r>
        <w:fldChar w:fldCharType="separate"/>
      </w:r>
      <w:r>
        <w:rPr>
          <w:rFonts w:ascii="仿宋" w:hAnsi="仿宋" w:eastAsia="仿宋"/>
          <w:bCs w:val="0"/>
          <w:szCs w:val="30"/>
        </w:rPr>
        <w:t xml:space="preserve">12. </w:t>
      </w:r>
      <w:r>
        <w:rPr>
          <w:rFonts w:hint="eastAsia" w:ascii="仿宋" w:hAnsi="仿宋" w:eastAsia="仿宋"/>
          <w:bCs w:val="0"/>
          <w:szCs w:val="30"/>
          <w:highlight w:val="none"/>
        </w:rPr>
        <w:t>北京海航中软科技有限公司</w:t>
      </w:r>
      <w:r>
        <w:tab/>
      </w:r>
      <w:r>
        <w:fldChar w:fldCharType="begin"/>
      </w:r>
      <w:r>
        <w:instrText xml:space="preserve"> PAGEREF _Toc30036 \h </w:instrText>
      </w:r>
      <w:r>
        <w:fldChar w:fldCharType="separate"/>
      </w:r>
      <w:r>
        <w:t>13</w:t>
      </w:r>
      <w:r>
        <w:fldChar w:fldCharType="end"/>
      </w:r>
      <w:r>
        <w:fldChar w:fldCharType="end"/>
      </w:r>
    </w:p>
    <w:p>
      <w:pPr>
        <w:pStyle w:val="22"/>
        <w:tabs>
          <w:tab w:val="right" w:leader="dot" w:pos="8306"/>
          <w:tab w:val="clear" w:pos="8296"/>
        </w:tabs>
      </w:pPr>
      <w:r>
        <w:fldChar w:fldCharType="begin"/>
      </w:r>
      <w:r>
        <w:instrText xml:space="preserve"> HYPERLINK \l _Toc12123 </w:instrText>
      </w:r>
      <w:r>
        <w:fldChar w:fldCharType="separate"/>
      </w:r>
      <w:r>
        <w:rPr>
          <w:rFonts w:ascii="仿宋" w:hAnsi="仿宋" w:eastAsia="仿宋"/>
          <w:bCs w:val="0"/>
          <w:szCs w:val="30"/>
        </w:rPr>
        <w:t xml:space="preserve">13. </w:t>
      </w:r>
      <w:r>
        <w:rPr>
          <w:rFonts w:hint="eastAsia" w:ascii="仿宋" w:hAnsi="仿宋" w:eastAsia="仿宋"/>
          <w:bCs w:val="0"/>
          <w:szCs w:val="30"/>
          <w:highlight w:val="none"/>
        </w:rPr>
        <w:t>合肥达朴汇联科技有限公司</w:t>
      </w:r>
      <w:r>
        <w:rPr>
          <w:rFonts w:ascii="Calibri" w:hAnsi="Calibri" w:eastAsia="仿宋" w:cs="Calibri"/>
          <w:bCs w:val="0"/>
          <w:szCs w:val="30"/>
          <w:highlight w:val="none"/>
        </w:rPr>
        <w:t> </w:t>
      </w:r>
      <w:r>
        <w:tab/>
      </w:r>
      <w:r>
        <w:fldChar w:fldCharType="begin"/>
      </w:r>
      <w:r>
        <w:instrText xml:space="preserve"> PAGEREF _Toc12123 \h </w:instrText>
      </w:r>
      <w:r>
        <w:fldChar w:fldCharType="separate"/>
      </w:r>
      <w:r>
        <w:t>14</w:t>
      </w:r>
      <w:r>
        <w:fldChar w:fldCharType="end"/>
      </w:r>
      <w:r>
        <w:fldChar w:fldCharType="end"/>
      </w:r>
    </w:p>
    <w:p>
      <w:pPr>
        <w:pStyle w:val="22"/>
        <w:tabs>
          <w:tab w:val="right" w:leader="dot" w:pos="8306"/>
          <w:tab w:val="clear" w:pos="8296"/>
        </w:tabs>
      </w:pPr>
      <w:r>
        <w:fldChar w:fldCharType="begin"/>
      </w:r>
      <w:r>
        <w:instrText xml:space="preserve"> HYPERLINK \l _Toc7019 </w:instrText>
      </w:r>
      <w:r>
        <w:fldChar w:fldCharType="separate"/>
      </w:r>
      <w:r>
        <w:rPr>
          <w:rFonts w:ascii="仿宋" w:hAnsi="仿宋" w:eastAsia="仿宋"/>
          <w:bCs w:val="0"/>
          <w:szCs w:val="30"/>
        </w:rPr>
        <w:t xml:space="preserve">14. </w:t>
      </w:r>
      <w:r>
        <w:rPr>
          <w:rFonts w:hint="eastAsia" w:ascii="仿宋" w:hAnsi="仿宋" w:eastAsia="仿宋"/>
          <w:bCs w:val="0"/>
          <w:szCs w:val="30"/>
          <w:highlight w:val="none"/>
        </w:rPr>
        <w:t>北京瑞鹏天乘信息技术有限公司</w:t>
      </w:r>
      <w:r>
        <w:tab/>
      </w:r>
      <w:r>
        <w:fldChar w:fldCharType="begin"/>
      </w:r>
      <w:r>
        <w:instrText xml:space="preserve"> PAGEREF _Toc7019 \h </w:instrText>
      </w:r>
      <w:r>
        <w:fldChar w:fldCharType="separate"/>
      </w:r>
      <w:r>
        <w:t>15</w:t>
      </w:r>
      <w:r>
        <w:fldChar w:fldCharType="end"/>
      </w:r>
      <w:r>
        <w:fldChar w:fldCharType="end"/>
      </w:r>
    </w:p>
    <w:p>
      <w:pPr>
        <w:pStyle w:val="22"/>
        <w:tabs>
          <w:tab w:val="right" w:leader="dot" w:pos="8306"/>
          <w:tab w:val="clear" w:pos="8296"/>
        </w:tabs>
      </w:pPr>
      <w:r>
        <w:fldChar w:fldCharType="begin"/>
      </w:r>
      <w:r>
        <w:instrText xml:space="preserve"> HYPERLINK \l _Toc4350 </w:instrText>
      </w:r>
      <w:r>
        <w:fldChar w:fldCharType="separate"/>
      </w:r>
      <w:r>
        <w:rPr>
          <w:rFonts w:ascii="仿宋" w:hAnsi="仿宋" w:eastAsia="仿宋"/>
          <w:bCs w:val="0"/>
          <w:szCs w:val="30"/>
        </w:rPr>
        <w:t xml:space="preserve">15. </w:t>
      </w:r>
      <w:r>
        <w:rPr>
          <w:rFonts w:hint="eastAsia" w:ascii="仿宋" w:hAnsi="仿宋" w:eastAsia="仿宋"/>
          <w:bCs w:val="0"/>
          <w:szCs w:val="30"/>
          <w:highlight w:val="none"/>
        </w:rPr>
        <w:t>北京诚公管理咨询有限公司</w:t>
      </w:r>
      <w:r>
        <w:tab/>
      </w:r>
      <w:r>
        <w:fldChar w:fldCharType="begin"/>
      </w:r>
      <w:r>
        <w:instrText xml:space="preserve"> PAGEREF _Toc4350 \h </w:instrText>
      </w:r>
      <w:r>
        <w:fldChar w:fldCharType="separate"/>
      </w:r>
      <w:r>
        <w:t>16</w:t>
      </w:r>
      <w:r>
        <w:fldChar w:fldCharType="end"/>
      </w:r>
      <w:r>
        <w:fldChar w:fldCharType="end"/>
      </w:r>
    </w:p>
    <w:p>
      <w:pPr>
        <w:pStyle w:val="22"/>
        <w:tabs>
          <w:tab w:val="right" w:leader="dot" w:pos="8306"/>
          <w:tab w:val="clear" w:pos="8296"/>
        </w:tabs>
      </w:pPr>
      <w:r>
        <w:fldChar w:fldCharType="begin"/>
      </w:r>
      <w:r>
        <w:instrText xml:space="preserve"> HYPERLINK \l _Toc10860 </w:instrText>
      </w:r>
      <w:r>
        <w:fldChar w:fldCharType="separate"/>
      </w:r>
      <w:r>
        <w:rPr>
          <w:rFonts w:ascii="仿宋" w:hAnsi="仿宋" w:eastAsia="仿宋"/>
          <w:bCs w:val="0"/>
          <w:szCs w:val="30"/>
        </w:rPr>
        <w:t xml:space="preserve">16. </w:t>
      </w:r>
      <w:r>
        <w:rPr>
          <w:rFonts w:hint="eastAsia" w:ascii="仿宋" w:hAnsi="仿宋" w:eastAsia="仿宋"/>
          <w:bCs w:val="0"/>
          <w:szCs w:val="30"/>
          <w:highlight w:val="none"/>
        </w:rPr>
        <w:t>广州珂诚信息技术有限公司</w:t>
      </w:r>
      <w:r>
        <w:tab/>
      </w:r>
      <w:r>
        <w:fldChar w:fldCharType="begin"/>
      </w:r>
      <w:r>
        <w:instrText xml:space="preserve"> PAGEREF _Toc10860 \h </w:instrText>
      </w:r>
      <w:r>
        <w:fldChar w:fldCharType="separate"/>
      </w:r>
      <w:r>
        <w:t>16</w:t>
      </w:r>
      <w:r>
        <w:fldChar w:fldCharType="end"/>
      </w:r>
      <w:r>
        <w:fldChar w:fldCharType="end"/>
      </w:r>
    </w:p>
    <w:p>
      <w:pPr>
        <w:pStyle w:val="22"/>
        <w:tabs>
          <w:tab w:val="right" w:leader="dot" w:pos="8306"/>
          <w:tab w:val="clear" w:pos="8296"/>
        </w:tabs>
      </w:pPr>
      <w:r>
        <w:fldChar w:fldCharType="begin"/>
      </w:r>
      <w:r>
        <w:instrText xml:space="preserve"> HYPERLINK \l _Toc14688 </w:instrText>
      </w:r>
      <w:r>
        <w:fldChar w:fldCharType="separate"/>
      </w:r>
      <w:r>
        <w:rPr>
          <w:rFonts w:ascii="仿宋" w:hAnsi="仿宋" w:eastAsia="仿宋"/>
          <w:bCs w:val="0"/>
          <w:szCs w:val="30"/>
        </w:rPr>
        <w:t xml:space="preserve">17. </w:t>
      </w:r>
      <w:r>
        <w:rPr>
          <w:rFonts w:hint="eastAsia" w:ascii="仿宋" w:hAnsi="仿宋" w:eastAsia="仿宋"/>
          <w:bCs w:val="0"/>
          <w:szCs w:val="30"/>
          <w:highlight w:val="none"/>
        </w:rPr>
        <w:t>深圳市中物互联技术发展有限公司</w:t>
      </w:r>
      <w:r>
        <w:tab/>
      </w:r>
      <w:r>
        <w:fldChar w:fldCharType="begin"/>
      </w:r>
      <w:r>
        <w:instrText xml:space="preserve"> PAGEREF _Toc14688 \h </w:instrText>
      </w:r>
      <w:r>
        <w:fldChar w:fldCharType="separate"/>
      </w:r>
      <w:r>
        <w:t>17</w:t>
      </w:r>
      <w:r>
        <w:fldChar w:fldCharType="end"/>
      </w:r>
      <w:r>
        <w:fldChar w:fldCharType="end"/>
      </w:r>
    </w:p>
    <w:p>
      <w:pPr>
        <w:pStyle w:val="22"/>
        <w:tabs>
          <w:tab w:val="right" w:leader="dot" w:pos="8306"/>
          <w:tab w:val="clear" w:pos="8296"/>
        </w:tabs>
      </w:pPr>
      <w:r>
        <w:fldChar w:fldCharType="begin"/>
      </w:r>
      <w:r>
        <w:instrText xml:space="preserve"> HYPERLINK \l _Toc23999 </w:instrText>
      </w:r>
      <w:r>
        <w:fldChar w:fldCharType="separate"/>
      </w:r>
      <w:r>
        <w:rPr>
          <w:rFonts w:ascii="仿宋" w:hAnsi="仿宋" w:eastAsia="仿宋"/>
          <w:bCs w:val="0"/>
          <w:szCs w:val="30"/>
        </w:rPr>
        <w:t xml:space="preserve">18. </w:t>
      </w:r>
      <w:r>
        <w:rPr>
          <w:rFonts w:hint="eastAsia" w:ascii="仿宋" w:hAnsi="仿宋" w:eastAsia="仿宋"/>
          <w:bCs w:val="0"/>
          <w:szCs w:val="30"/>
          <w:highlight w:val="none"/>
        </w:rPr>
        <w:t>广西九维时空数字产业发展有限公司</w:t>
      </w:r>
      <w:r>
        <w:tab/>
      </w:r>
      <w:r>
        <w:fldChar w:fldCharType="begin"/>
      </w:r>
      <w:r>
        <w:instrText xml:space="preserve"> PAGEREF _Toc23999 \h </w:instrText>
      </w:r>
      <w:r>
        <w:fldChar w:fldCharType="separate"/>
      </w:r>
      <w:r>
        <w:t>18</w:t>
      </w:r>
      <w:r>
        <w:fldChar w:fldCharType="end"/>
      </w:r>
      <w:r>
        <w:fldChar w:fldCharType="end"/>
      </w:r>
    </w:p>
    <w:p>
      <w:pPr>
        <w:pStyle w:val="22"/>
        <w:tabs>
          <w:tab w:val="right" w:leader="dot" w:pos="8306"/>
          <w:tab w:val="clear" w:pos="8296"/>
        </w:tabs>
      </w:pPr>
      <w:r>
        <w:fldChar w:fldCharType="begin"/>
      </w:r>
      <w:r>
        <w:instrText xml:space="preserve"> HYPERLINK \l _Toc5149 </w:instrText>
      </w:r>
      <w:r>
        <w:fldChar w:fldCharType="separate"/>
      </w:r>
      <w:r>
        <w:rPr>
          <w:rFonts w:ascii="仿宋" w:hAnsi="仿宋" w:eastAsia="仿宋"/>
          <w:bCs w:val="0"/>
          <w:szCs w:val="30"/>
        </w:rPr>
        <w:t xml:space="preserve">19. </w:t>
      </w:r>
      <w:r>
        <w:rPr>
          <w:rFonts w:hint="eastAsia" w:ascii="仿宋" w:hAnsi="仿宋" w:eastAsia="仿宋"/>
          <w:bCs w:val="0"/>
          <w:szCs w:val="30"/>
          <w:highlight w:val="none"/>
        </w:rPr>
        <w:t>码客工场工业科技（北京）有限公司</w:t>
      </w:r>
      <w:r>
        <w:tab/>
      </w:r>
      <w:r>
        <w:fldChar w:fldCharType="begin"/>
      </w:r>
      <w:r>
        <w:instrText xml:space="preserve"> PAGEREF _Toc5149 \h </w:instrText>
      </w:r>
      <w:r>
        <w:fldChar w:fldCharType="separate"/>
      </w:r>
      <w:r>
        <w:t>19</w:t>
      </w:r>
      <w:r>
        <w:fldChar w:fldCharType="end"/>
      </w:r>
      <w:r>
        <w:fldChar w:fldCharType="end"/>
      </w:r>
    </w:p>
    <w:p>
      <w:pPr>
        <w:pStyle w:val="22"/>
        <w:tabs>
          <w:tab w:val="right" w:leader="dot" w:pos="8306"/>
          <w:tab w:val="clear" w:pos="8296"/>
        </w:tabs>
      </w:pPr>
      <w:r>
        <w:fldChar w:fldCharType="begin"/>
      </w:r>
      <w:r>
        <w:instrText xml:space="preserve"> HYPERLINK \l _Toc258 </w:instrText>
      </w:r>
      <w:r>
        <w:fldChar w:fldCharType="separate"/>
      </w:r>
      <w:r>
        <w:rPr>
          <w:rFonts w:hint="eastAsia" w:ascii="仿宋" w:hAnsi="仿宋" w:eastAsia="仿宋"/>
          <w:bCs w:val="0"/>
          <w:szCs w:val="30"/>
        </w:rPr>
        <w:t xml:space="preserve">20. </w:t>
      </w:r>
      <w:r>
        <w:rPr>
          <w:rFonts w:hint="eastAsia" w:ascii="仿宋" w:hAnsi="仿宋" w:eastAsia="仿宋"/>
          <w:bCs w:val="0"/>
          <w:szCs w:val="30"/>
          <w:highlight w:val="none"/>
        </w:rPr>
        <w:t>广州市锐赛科技有限公司</w:t>
      </w:r>
      <w:r>
        <w:tab/>
      </w:r>
      <w:r>
        <w:fldChar w:fldCharType="begin"/>
      </w:r>
      <w:r>
        <w:instrText xml:space="preserve"> PAGEREF _Toc258 \h </w:instrText>
      </w:r>
      <w:r>
        <w:fldChar w:fldCharType="separate"/>
      </w:r>
      <w:r>
        <w:t>20</w:t>
      </w:r>
      <w:r>
        <w:fldChar w:fldCharType="end"/>
      </w:r>
      <w:r>
        <w:fldChar w:fldCharType="end"/>
      </w:r>
    </w:p>
    <w:p>
      <w:pPr>
        <w:pStyle w:val="22"/>
        <w:tabs>
          <w:tab w:val="right" w:leader="dot" w:pos="8306"/>
          <w:tab w:val="clear" w:pos="8296"/>
        </w:tabs>
      </w:pPr>
      <w:r>
        <w:fldChar w:fldCharType="begin"/>
      </w:r>
      <w:r>
        <w:instrText xml:space="preserve"> HYPERLINK \l _Toc23309 </w:instrText>
      </w:r>
      <w:r>
        <w:fldChar w:fldCharType="separate"/>
      </w:r>
      <w:r>
        <w:rPr>
          <w:rFonts w:hint="eastAsia" w:ascii="仿宋" w:hAnsi="仿宋" w:eastAsia="仿宋"/>
          <w:bCs w:val="0"/>
          <w:szCs w:val="30"/>
        </w:rPr>
        <w:t xml:space="preserve">21. </w:t>
      </w:r>
      <w:r>
        <w:rPr>
          <w:rFonts w:hint="eastAsia" w:ascii="仿宋" w:hAnsi="仿宋" w:eastAsia="仿宋"/>
          <w:bCs w:val="0"/>
          <w:szCs w:val="30"/>
          <w:highlight w:val="none"/>
        </w:rPr>
        <w:t>大连云数据科技有限公司</w:t>
      </w:r>
      <w:r>
        <w:tab/>
      </w:r>
      <w:r>
        <w:fldChar w:fldCharType="begin"/>
      </w:r>
      <w:r>
        <w:instrText xml:space="preserve"> PAGEREF _Toc23309 \h </w:instrText>
      </w:r>
      <w:r>
        <w:fldChar w:fldCharType="separate"/>
      </w:r>
      <w:r>
        <w:t>21</w:t>
      </w:r>
      <w:r>
        <w:fldChar w:fldCharType="end"/>
      </w:r>
      <w:r>
        <w:fldChar w:fldCharType="end"/>
      </w:r>
    </w:p>
    <w:p>
      <w:pPr>
        <w:pStyle w:val="22"/>
        <w:tabs>
          <w:tab w:val="right" w:leader="dot" w:pos="8306"/>
          <w:tab w:val="clear" w:pos="8296"/>
        </w:tabs>
      </w:pPr>
      <w:r>
        <w:fldChar w:fldCharType="begin"/>
      </w:r>
      <w:r>
        <w:instrText xml:space="preserve"> HYPERLINK \l _Toc14506 </w:instrText>
      </w:r>
      <w:r>
        <w:fldChar w:fldCharType="separate"/>
      </w:r>
      <w:r>
        <w:rPr>
          <w:rFonts w:hint="eastAsia" w:ascii="仿宋" w:hAnsi="仿宋" w:eastAsia="仿宋"/>
          <w:bCs w:val="0"/>
          <w:szCs w:val="30"/>
        </w:rPr>
        <w:t xml:space="preserve">22. </w:t>
      </w:r>
      <w:r>
        <w:rPr>
          <w:rFonts w:hint="eastAsia" w:ascii="仿宋" w:hAnsi="仿宋" w:eastAsia="仿宋"/>
          <w:bCs w:val="0"/>
          <w:szCs w:val="30"/>
          <w:highlight w:val="none"/>
        </w:rPr>
        <w:t>广东中设智控科技股份有限公司</w:t>
      </w:r>
      <w:r>
        <w:tab/>
      </w:r>
      <w:r>
        <w:fldChar w:fldCharType="begin"/>
      </w:r>
      <w:r>
        <w:instrText xml:space="preserve"> PAGEREF _Toc14506 \h </w:instrText>
      </w:r>
      <w:r>
        <w:fldChar w:fldCharType="separate"/>
      </w:r>
      <w:r>
        <w:t>21</w:t>
      </w:r>
      <w:r>
        <w:fldChar w:fldCharType="end"/>
      </w:r>
      <w:r>
        <w:fldChar w:fldCharType="end"/>
      </w:r>
    </w:p>
    <w:p>
      <w:pPr>
        <w:pStyle w:val="22"/>
        <w:tabs>
          <w:tab w:val="right" w:leader="dot" w:pos="8306"/>
          <w:tab w:val="clear" w:pos="8296"/>
        </w:tabs>
      </w:pPr>
      <w:r>
        <w:fldChar w:fldCharType="begin"/>
      </w:r>
      <w:r>
        <w:instrText xml:space="preserve"> HYPERLINK \l _Toc12995 </w:instrText>
      </w:r>
      <w:r>
        <w:fldChar w:fldCharType="separate"/>
      </w:r>
      <w:r>
        <w:rPr>
          <w:rFonts w:hint="eastAsia" w:ascii="仿宋" w:hAnsi="仿宋" w:eastAsia="仿宋"/>
          <w:bCs w:val="0"/>
          <w:szCs w:val="30"/>
        </w:rPr>
        <w:t xml:space="preserve">23. </w:t>
      </w:r>
      <w:r>
        <w:rPr>
          <w:rFonts w:hint="eastAsia" w:ascii="仿宋" w:hAnsi="仿宋" w:eastAsia="仿宋"/>
          <w:bCs w:val="0"/>
          <w:szCs w:val="30"/>
          <w:highlight w:val="none"/>
        </w:rPr>
        <w:t>北京国基科技股份有限公司</w:t>
      </w:r>
      <w:r>
        <w:tab/>
      </w:r>
      <w:r>
        <w:fldChar w:fldCharType="begin"/>
      </w:r>
      <w:r>
        <w:instrText xml:space="preserve"> PAGEREF _Toc12995 \h </w:instrText>
      </w:r>
      <w:r>
        <w:fldChar w:fldCharType="separate"/>
      </w:r>
      <w:r>
        <w:t>22</w:t>
      </w:r>
      <w:r>
        <w:fldChar w:fldCharType="end"/>
      </w:r>
      <w:r>
        <w:fldChar w:fldCharType="end"/>
      </w:r>
    </w:p>
    <w:p>
      <w:pPr>
        <w:pStyle w:val="22"/>
        <w:tabs>
          <w:tab w:val="right" w:leader="dot" w:pos="8306"/>
          <w:tab w:val="clear" w:pos="8296"/>
        </w:tabs>
      </w:pPr>
      <w:r>
        <w:fldChar w:fldCharType="begin"/>
      </w:r>
      <w:r>
        <w:instrText xml:space="preserve"> HYPERLINK \l _Toc18712 </w:instrText>
      </w:r>
      <w:r>
        <w:fldChar w:fldCharType="separate"/>
      </w:r>
      <w:r>
        <w:rPr>
          <w:rFonts w:ascii="仿宋" w:hAnsi="仿宋" w:eastAsia="仿宋"/>
          <w:bCs w:val="0"/>
          <w:szCs w:val="30"/>
        </w:rPr>
        <w:t xml:space="preserve">24. </w:t>
      </w:r>
      <w:r>
        <w:rPr>
          <w:rFonts w:hint="eastAsia" w:ascii="仿宋" w:hAnsi="仿宋" w:eastAsia="仿宋"/>
          <w:bCs w:val="0"/>
          <w:szCs w:val="30"/>
          <w:highlight w:val="none"/>
        </w:rPr>
        <w:t>深圳市杉岩数据技术有限公司</w:t>
      </w:r>
      <w:r>
        <w:tab/>
      </w:r>
      <w:r>
        <w:fldChar w:fldCharType="begin"/>
      </w:r>
      <w:r>
        <w:instrText xml:space="preserve"> PAGEREF _Toc18712 \h </w:instrText>
      </w:r>
      <w:r>
        <w:fldChar w:fldCharType="separate"/>
      </w:r>
      <w:r>
        <w:t>23</w:t>
      </w:r>
      <w:r>
        <w:fldChar w:fldCharType="end"/>
      </w:r>
      <w:r>
        <w:fldChar w:fldCharType="end"/>
      </w:r>
    </w:p>
    <w:p>
      <w:pPr>
        <w:pStyle w:val="22"/>
        <w:tabs>
          <w:tab w:val="right" w:leader="dot" w:pos="8306"/>
          <w:tab w:val="clear" w:pos="8296"/>
        </w:tabs>
      </w:pPr>
      <w:r>
        <w:fldChar w:fldCharType="begin"/>
      </w:r>
      <w:r>
        <w:instrText xml:space="preserve"> HYPERLINK \l _Toc32750 </w:instrText>
      </w:r>
      <w:r>
        <w:fldChar w:fldCharType="separate"/>
      </w:r>
      <w:r>
        <w:rPr>
          <w:rFonts w:hint="eastAsia" w:ascii="仿宋" w:hAnsi="仿宋" w:eastAsia="仿宋"/>
          <w:bCs w:val="0"/>
          <w:szCs w:val="30"/>
        </w:rPr>
        <w:t xml:space="preserve">25. </w:t>
      </w:r>
      <w:r>
        <w:rPr>
          <w:rFonts w:hint="eastAsia" w:ascii="仿宋" w:hAnsi="仿宋" w:eastAsia="仿宋"/>
          <w:bCs w:val="0"/>
          <w:szCs w:val="30"/>
          <w:highlight w:val="none"/>
        </w:rPr>
        <w:t>重庆云江工业互联网有限公司</w:t>
      </w:r>
      <w:r>
        <w:tab/>
      </w:r>
      <w:r>
        <w:fldChar w:fldCharType="begin"/>
      </w:r>
      <w:r>
        <w:instrText xml:space="preserve"> PAGEREF _Toc32750 \h </w:instrText>
      </w:r>
      <w:r>
        <w:fldChar w:fldCharType="separate"/>
      </w:r>
      <w:r>
        <w:t>24</w:t>
      </w:r>
      <w:r>
        <w:fldChar w:fldCharType="end"/>
      </w:r>
      <w:r>
        <w:fldChar w:fldCharType="end"/>
      </w:r>
    </w:p>
    <w:p>
      <w:pPr>
        <w:pStyle w:val="22"/>
        <w:tabs>
          <w:tab w:val="right" w:leader="dot" w:pos="8306"/>
          <w:tab w:val="clear" w:pos="8296"/>
        </w:tabs>
      </w:pPr>
      <w:r>
        <w:fldChar w:fldCharType="begin"/>
      </w:r>
      <w:r>
        <w:instrText xml:space="preserve"> HYPERLINK \l _Toc5851 </w:instrText>
      </w:r>
      <w:r>
        <w:fldChar w:fldCharType="separate"/>
      </w:r>
      <w:r>
        <w:rPr>
          <w:rFonts w:hint="eastAsia" w:ascii="仿宋" w:hAnsi="仿宋" w:eastAsia="仿宋"/>
          <w:bCs w:val="0"/>
          <w:szCs w:val="30"/>
          <w:lang w:eastAsia="zh-CN"/>
        </w:rPr>
        <w:t xml:space="preserve">26. </w:t>
      </w:r>
      <w:r>
        <w:rPr>
          <w:rFonts w:hint="eastAsia" w:ascii="仿宋" w:hAnsi="仿宋" w:eastAsia="仿宋"/>
          <w:bCs w:val="0"/>
          <w:szCs w:val="30"/>
          <w:highlight w:val="none"/>
          <w:lang w:eastAsia="zh-CN"/>
        </w:rPr>
        <w:t>中仓登数据服务有限公司</w:t>
      </w:r>
      <w:r>
        <w:tab/>
      </w:r>
      <w:r>
        <w:fldChar w:fldCharType="begin"/>
      </w:r>
      <w:r>
        <w:instrText xml:space="preserve"> PAGEREF _Toc5851 \h </w:instrText>
      </w:r>
      <w:r>
        <w:fldChar w:fldCharType="separate"/>
      </w:r>
      <w:r>
        <w:t>24</w:t>
      </w:r>
      <w:r>
        <w:fldChar w:fldCharType="end"/>
      </w:r>
      <w:r>
        <w:fldChar w:fldCharType="end"/>
      </w:r>
    </w:p>
    <w:p>
      <w:pPr>
        <w:pStyle w:val="22"/>
        <w:tabs>
          <w:tab w:val="right" w:leader="dot" w:pos="8306"/>
          <w:tab w:val="clear" w:pos="8296"/>
        </w:tabs>
      </w:pPr>
      <w:r>
        <w:fldChar w:fldCharType="begin"/>
      </w:r>
      <w:r>
        <w:instrText xml:space="preserve"> HYPERLINK \l _Toc25845 </w:instrText>
      </w:r>
      <w:r>
        <w:fldChar w:fldCharType="separate"/>
      </w:r>
      <w:r>
        <w:rPr>
          <w:rFonts w:hint="eastAsia" w:ascii="仿宋" w:hAnsi="仿宋" w:eastAsia="仿宋"/>
          <w:bCs w:val="0"/>
          <w:szCs w:val="30"/>
          <w:lang w:eastAsia="zh-CN"/>
        </w:rPr>
        <w:t xml:space="preserve">27. </w:t>
      </w:r>
      <w:r>
        <w:rPr>
          <w:rFonts w:hint="eastAsia" w:ascii="仿宋" w:hAnsi="仿宋" w:eastAsia="仿宋"/>
          <w:bCs w:val="0"/>
          <w:szCs w:val="30"/>
          <w:highlight w:val="none"/>
          <w:lang w:eastAsia="zh-CN"/>
        </w:rPr>
        <w:t>北京艾智互联科技有限公司</w:t>
      </w:r>
      <w:r>
        <w:tab/>
      </w:r>
      <w:r>
        <w:fldChar w:fldCharType="begin"/>
      </w:r>
      <w:r>
        <w:instrText xml:space="preserve"> PAGEREF _Toc25845 \h </w:instrText>
      </w:r>
      <w:r>
        <w:fldChar w:fldCharType="separate"/>
      </w:r>
      <w:r>
        <w:t>25</w:t>
      </w:r>
      <w:r>
        <w:fldChar w:fldCharType="end"/>
      </w:r>
      <w:r>
        <w:fldChar w:fldCharType="end"/>
      </w:r>
    </w:p>
    <w:p>
      <w:pPr>
        <w:pStyle w:val="22"/>
        <w:tabs>
          <w:tab w:val="right" w:leader="dot" w:pos="8306"/>
          <w:tab w:val="clear" w:pos="8296"/>
        </w:tabs>
      </w:pPr>
      <w:r>
        <w:fldChar w:fldCharType="begin"/>
      </w:r>
      <w:r>
        <w:instrText xml:space="preserve"> HYPERLINK \l _Toc12916 </w:instrText>
      </w:r>
      <w:r>
        <w:fldChar w:fldCharType="separate"/>
      </w:r>
      <w:r>
        <w:rPr>
          <w:rFonts w:hint="eastAsia" w:ascii="仿宋" w:hAnsi="仿宋" w:eastAsia="仿宋"/>
          <w:bCs w:val="0"/>
          <w:szCs w:val="30"/>
          <w:lang w:eastAsia="zh-CN"/>
        </w:rPr>
        <w:t xml:space="preserve">28. </w:t>
      </w:r>
      <w:r>
        <w:rPr>
          <w:rFonts w:hint="eastAsia" w:ascii="仿宋" w:hAnsi="仿宋" w:eastAsia="仿宋"/>
          <w:bCs w:val="0"/>
          <w:szCs w:val="30"/>
          <w:highlight w:val="none"/>
          <w:lang w:eastAsia="zh-CN"/>
        </w:rPr>
        <w:t>山西省数字证书认证中心（有限公司）</w:t>
      </w:r>
      <w:r>
        <w:tab/>
      </w:r>
      <w:r>
        <w:fldChar w:fldCharType="begin"/>
      </w:r>
      <w:r>
        <w:instrText xml:space="preserve"> PAGEREF _Toc12916 \h </w:instrText>
      </w:r>
      <w:r>
        <w:fldChar w:fldCharType="separate"/>
      </w:r>
      <w:r>
        <w:t>26</w:t>
      </w:r>
      <w:r>
        <w:fldChar w:fldCharType="end"/>
      </w:r>
      <w:r>
        <w:fldChar w:fldCharType="end"/>
      </w:r>
    </w:p>
    <w:p>
      <w:pPr>
        <w:pStyle w:val="22"/>
        <w:tabs>
          <w:tab w:val="right" w:leader="dot" w:pos="8306"/>
          <w:tab w:val="clear" w:pos="8296"/>
        </w:tabs>
      </w:pPr>
      <w:r>
        <w:fldChar w:fldCharType="begin"/>
      </w:r>
      <w:r>
        <w:instrText xml:space="preserve"> HYPERLINK \l _Toc4420 </w:instrText>
      </w:r>
      <w:r>
        <w:fldChar w:fldCharType="separate"/>
      </w:r>
      <w:r>
        <w:rPr>
          <w:rFonts w:hint="eastAsia" w:ascii="仿宋" w:hAnsi="仿宋" w:eastAsia="仿宋"/>
          <w:bCs w:val="0"/>
          <w:szCs w:val="30"/>
        </w:rPr>
        <w:t xml:space="preserve">29. </w:t>
      </w:r>
      <w:r>
        <w:rPr>
          <w:rFonts w:hint="eastAsia" w:ascii="仿宋" w:hAnsi="仿宋" w:eastAsia="仿宋"/>
          <w:bCs w:val="0"/>
          <w:szCs w:val="30"/>
          <w:highlight w:val="none"/>
        </w:rPr>
        <w:t>广州优壹互联科技有限公司</w:t>
      </w:r>
      <w:r>
        <w:tab/>
      </w:r>
      <w:r>
        <w:fldChar w:fldCharType="begin"/>
      </w:r>
      <w:r>
        <w:instrText xml:space="preserve"> PAGEREF _Toc4420 \h </w:instrText>
      </w:r>
      <w:r>
        <w:fldChar w:fldCharType="separate"/>
      </w:r>
      <w:r>
        <w:t>26</w:t>
      </w:r>
      <w:r>
        <w:fldChar w:fldCharType="end"/>
      </w:r>
      <w:r>
        <w:fldChar w:fldCharType="end"/>
      </w:r>
    </w:p>
    <w:p>
      <w:pPr>
        <w:pStyle w:val="22"/>
        <w:tabs>
          <w:tab w:val="right" w:leader="dot" w:pos="8306"/>
          <w:tab w:val="clear" w:pos="8296"/>
        </w:tabs>
      </w:pPr>
      <w:r>
        <w:fldChar w:fldCharType="begin"/>
      </w:r>
      <w:r>
        <w:instrText xml:space="preserve"> HYPERLINK \l _Toc4830 </w:instrText>
      </w:r>
      <w:r>
        <w:fldChar w:fldCharType="separate"/>
      </w:r>
      <w:r>
        <w:rPr>
          <w:rFonts w:ascii="仿宋" w:hAnsi="仿宋" w:eastAsia="仿宋"/>
          <w:bCs w:val="0"/>
          <w:szCs w:val="30"/>
        </w:rPr>
        <w:t xml:space="preserve">30. </w:t>
      </w:r>
      <w:r>
        <w:rPr>
          <w:rFonts w:hint="eastAsia" w:ascii="仿宋" w:hAnsi="仿宋" w:eastAsia="仿宋"/>
          <w:bCs w:val="0"/>
          <w:szCs w:val="30"/>
          <w:highlight w:val="none"/>
        </w:rPr>
        <w:t>武汉亿思源光电股份有限公司</w:t>
      </w:r>
      <w:r>
        <w:tab/>
      </w:r>
      <w:r>
        <w:fldChar w:fldCharType="begin"/>
      </w:r>
      <w:r>
        <w:instrText xml:space="preserve"> PAGEREF _Toc4830 \h </w:instrText>
      </w:r>
      <w:r>
        <w:fldChar w:fldCharType="separate"/>
      </w:r>
      <w:r>
        <w:t>27</w:t>
      </w:r>
      <w:r>
        <w:fldChar w:fldCharType="end"/>
      </w:r>
      <w:r>
        <w:fldChar w:fldCharType="end"/>
      </w:r>
    </w:p>
    <w:p>
      <w:pPr>
        <w:pStyle w:val="22"/>
        <w:tabs>
          <w:tab w:val="right" w:leader="dot" w:pos="8306"/>
          <w:tab w:val="clear" w:pos="8296"/>
        </w:tabs>
      </w:pPr>
      <w:r>
        <w:fldChar w:fldCharType="begin"/>
      </w:r>
      <w:r>
        <w:instrText xml:space="preserve"> HYPERLINK \l _Toc6175 </w:instrText>
      </w:r>
      <w:r>
        <w:fldChar w:fldCharType="separate"/>
      </w:r>
      <w:r>
        <w:rPr>
          <w:rFonts w:hint="eastAsia" w:ascii="仿宋" w:hAnsi="仿宋" w:eastAsia="仿宋"/>
          <w:bCs w:val="0"/>
          <w:szCs w:val="30"/>
        </w:rPr>
        <w:t xml:space="preserve">31. </w:t>
      </w:r>
      <w:r>
        <w:rPr>
          <w:rFonts w:hint="eastAsia" w:ascii="仿宋" w:hAnsi="仿宋" w:eastAsia="仿宋"/>
          <w:bCs w:val="0"/>
          <w:szCs w:val="30"/>
          <w:highlight w:val="none"/>
        </w:rPr>
        <w:t>联通雄安产业互联网有限公司</w:t>
      </w:r>
      <w:r>
        <w:tab/>
      </w:r>
      <w:r>
        <w:fldChar w:fldCharType="begin"/>
      </w:r>
      <w:r>
        <w:instrText xml:space="preserve"> PAGEREF _Toc6175 \h </w:instrText>
      </w:r>
      <w:r>
        <w:fldChar w:fldCharType="separate"/>
      </w:r>
      <w:r>
        <w:t>28</w:t>
      </w:r>
      <w:r>
        <w:fldChar w:fldCharType="end"/>
      </w:r>
      <w:r>
        <w:fldChar w:fldCharType="end"/>
      </w:r>
    </w:p>
    <w:p>
      <w:pPr>
        <w:pStyle w:val="22"/>
        <w:tabs>
          <w:tab w:val="right" w:leader="dot" w:pos="8306"/>
          <w:tab w:val="clear" w:pos="8296"/>
        </w:tabs>
      </w:pPr>
      <w:r>
        <w:fldChar w:fldCharType="begin"/>
      </w:r>
      <w:r>
        <w:instrText xml:space="preserve"> HYPERLINK \l _Toc32161 </w:instrText>
      </w:r>
      <w:r>
        <w:fldChar w:fldCharType="separate"/>
      </w:r>
      <w:r>
        <w:rPr>
          <w:rFonts w:ascii="仿宋" w:hAnsi="仿宋" w:eastAsia="仿宋"/>
          <w:bCs w:val="0"/>
          <w:szCs w:val="30"/>
        </w:rPr>
        <w:t xml:space="preserve">32. </w:t>
      </w:r>
      <w:r>
        <w:rPr>
          <w:rFonts w:hint="eastAsia" w:ascii="仿宋" w:hAnsi="仿宋" w:eastAsia="仿宋"/>
          <w:bCs w:val="0"/>
          <w:szCs w:val="30"/>
          <w:highlight w:val="none"/>
        </w:rPr>
        <w:t>高质标准化研究院（山东）有限公司</w:t>
      </w:r>
      <w:r>
        <w:tab/>
      </w:r>
      <w:r>
        <w:fldChar w:fldCharType="begin"/>
      </w:r>
      <w:r>
        <w:instrText xml:space="preserve"> PAGEREF _Toc32161 \h </w:instrText>
      </w:r>
      <w:r>
        <w:fldChar w:fldCharType="separate"/>
      </w:r>
      <w:r>
        <w:t>29</w:t>
      </w:r>
      <w:r>
        <w:fldChar w:fldCharType="end"/>
      </w:r>
      <w:r>
        <w:fldChar w:fldCharType="end"/>
      </w:r>
    </w:p>
    <w:p>
      <w:r>
        <w:fldChar w:fldCharType="end"/>
      </w:r>
    </w:p>
    <w:p>
      <w:pPr>
        <w:pStyle w:val="17"/>
        <w:rPr>
          <w:rStyle w:val="31"/>
          <w:rFonts w:ascii="宋体" w:hAnsi="宋体" w:eastAsia="宋体"/>
          <w:szCs w:val="24"/>
        </w:rPr>
        <w:sectPr>
          <w:footerReference r:id="rId8" w:type="first"/>
          <w:pgSz w:w="11906" w:h="16838"/>
          <w:pgMar w:top="1985" w:right="1800" w:bottom="1440" w:left="1800" w:header="851" w:footer="992" w:gutter="0"/>
          <w:pgNumType w:fmt="upperRoman" w:start="1"/>
          <w:cols w:space="425" w:num="1"/>
          <w:titlePg/>
          <w:docGrid w:type="lines" w:linePitch="312" w:charSpace="0"/>
        </w:sectPr>
      </w:pPr>
    </w:p>
    <w:p>
      <w:pPr>
        <w:jc w:val="center"/>
        <w:rPr>
          <w:rFonts w:ascii="黑体" w:hAnsi="黑体" w:eastAsia="黑体"/>
          <w:sz w:val="48"/>
          <w:szCs w:val="48"/>
        </w:rPr>
      </w:pPr>
      <w:r>
        <w:rPr>
          <w:rFonts w:hint="eastAsia" w:ascii="黑体" w:hAnsi="黑体" w:eastAsia="黑体"/>
          <w:sz w:val="48"/>
          <w:szCs w:val="48"/>
        </w:rPr>
        <w:t>申请加入联盟的第五十</w:t>
      </w:r>
      <w:r>
        <w:rPr>
          <w:rFonts w:hint="eastAsia" w:ascii="黑体" w:hAnsi="黑体" w:eastAsia="黑体"/>
          <w:sz w:val="48"/>
          <w:szCs w:val="48"/>
          <w:lang w:val="en-US" w:eastAsia="zh-CN"/>
        </w:rPr>
        <w:t>八</w:t>
      </w:r>
      <w:r>
        <w:rPr>
          <w:rFonts w:hint="eastAsia" w:ascii="黑体" w:hAnsi="黑体" w:eastAsia="黑体"/>
          <w:sz w:val="48"/>
          <w:szCs w:val="48"/>
        </w:rPr>
        <w:t>批会员清单</w:t>
      </w:r>
    </w:p>
    <w:p>
      <w:pPr>
        <w:pStyle w:val="2"/>
        <w:rPr>
          <w:rFonts w:ascii="仿宋" w:hAnsi="仿宋" w:eastAsia="仿宋"/>
          <w:sz w:val="32"/>
          <w:szCs w:val="32"/>
        </w:rPr>
      </w:pPr>
      <w:bookmarkStart w:id="0" w:name="_Toc445466096"/>
      <w:bookmarkStart w:id="1" w:name="_Toc14347"/>
      <w:r>
        <w:rPr>
          <w:rFonts w:hint="eastAsia" w:ascii="仿宋" w:hAnsi="仿宋" w:eastAsia="仿宋"/>
          <w:sz w:val="32"/>
          <w:szCs w:val="32"/>
        </w:rPr>
        <w:t>一、企业名单</w:t>
      </w:r>
      <w:bookmarkEnd w:id="0"/>
      <w:bookmarkEnd w:id="1"/>
    </w:p>
    <w:p>
      <w:pPr>
        <w:tabs>
          <w:tab w:val="left" w:pos="720"/>
        </w:tabs>
        <w:ind w:firstLine="600" w:firstLineChars="200"/>
        <w:rPr>
          <w:rFonts w:ascii="仿宋" w:hAnsi="仿宋" w:eastAsia="仿宋"/>
          <w:sz w:val="30"/>
          <w:szCs w:val="30"/>
        </w:rPr>
      </w:pPr>
      <w:r>
        <w:rPr>
          <w:rFonts w:hint="eastAsia" w:ascii="仿宋" w:hAnsi="仿宋" w:eastAsia="仿宋"/>
          <w:sz w:val="30"/>
          <w:szCs w:val="30"/>
        </w:rPr>
        <w:t>自2021年</w:t>
      </w:r>
      <w:r>
        <w:rPr>
          <w:rFonts w:hint="eastAsia" w:ascii="仿宋" w:hAnsi="仿宋" w:eastAsia="仿宋"/>
          <w:sz w:val="30"/>
          <w:szCs w:val="30"/>
          <w:lang w:val="en-US" w:eastAsia="zh-CN"/>
        </w:rPr>
        <w:t>12</w:t>
      </w:r>
      <w:r>
        <w:rPr>
          <w:rFonts w:hint="eastAsia" w:ascii="仿宋" w:hAnsi="仿宋" w:eastAsia="仿宋"/>
          <w:sz w:val="30"/>
          <w:szCs w:val="30"/>
        </w:rPr>
        <w:t>月</w:t>
      </w:r>
      <w:r>
        <w:rPr>
          <w:rFonts w:hint="eastAsia" w:ascii="仿宋" w:hAnsi="仿宋" w:eastAsia="仿宋"/>
          <w:sz w:val="30"/>
          <w:szCs w:val="30"/>
          <w:lang w:val="en-US" w:eastAsia="zh-CN"/>
        </w:rPr>
        <w:t>1</w:t>
      </w:r>
      <w:r>
        <w:rPr>
          <w:rFonts w:hint="eastAsia" w:ascii="仿宋" w:hAnsi="仿宋" w:eastAsia="仿宋"/>
          <w:sz w:val="30"/>
          <w:szCs w:val="30"/>
        </w:rPr>
        <w:t>日至202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1</w:t>
      </w:r>
      <w:r>
        <w:rPr>
          <w:rFonts w:hint="eastAsia" w:ascii="仿宋" w:hAnsi="仿宋" w:eastAsia="仿宋"/>
          <w:sz w:val="30"/>
          <w:szCs w:val="30"/>
        </w:rPr>
        <w:t>月</w:t>
      </w:r>
      <w:r>
        <w:rPr>
          <w:rFonts w:hint="eastAsia" w:ascii="仿宋" w:hAnsi="仿宋" w:eastAsia="仿宋"/>
          <w:sz w:val="30"/>
          <w:szCs w:val="30"/>
          <w:lang w:val="en-US" w:eastAsia="zh-CN"/>
        </w:rPr>
        <w:t>7</w:t>
      </w:r>
      <w:r>
        <w:rPr>
          <w:rFonts w:hint="eastAsia" w:ascii="仿宋" w:hAnsi="仿宋" w:eastAsia="仿宋"/>
          <w:sz w:val="30"/>
          <w:szCs w:val="30"/>
        </w:rPr>
        <w:t>日</w:t>
      </w:r>
      <w:r>
        <w:rPr>
          <w:rFonts w:hint="eastAsia" w:ascii="仿宋" w:hAnsi="仿宋" w:eastAsia="仿宋"/>
          <w:color w:val="000000"/>
          <w:sz w:val="30"/>
          <w:szCs w:val="30"/>
        </w:rPr>
        <w:t>，</w:t>
      </w:r>
      <w:r>
        <w:rPr>
          <w:rFonts w:hint="eastAsia" w:ascii="仿宋" w:hAnsi="仿宋" w:eastAsia="仿宋"/>
          <w:sz w:val="30"/>
          <w:szCs w:val="30"/>
        </w:rPr>
        <w:t>第五十</w:t>
      </w:r>
      <w:r>
        <w:rPr>
          <w:rFonts w:hint="eastAsia" w:ascii="仿宋" w:hAnsi="仿宋" w:eastAsia="仿宋"/>
          <w:sz w:val="30"/>
          <w:szCs w:val="30"/>
          <w:lang w:val="en-US" w:eastAsia="zh-CN"/>
        </w:rPr>
        <w:t>八</w:t>
      </w:r>
      <w:r>
        <w:rPr>
          <w:rFonts w:hint="eastAsia" w:ascii="仿宋" w:hAnsi="仿宋" w:eastAsia="仿宋"/>
          <w:sz w:val="30"/>
          <w:szCs w:val="30"/>
        </w:rPr>
        <w:t>批提交正式回执的企业共有</w:t>
      </w:r>
      <w:r>
        <w:rPr>
          <w:rFonts w:hint="eastAsia" w:ascii="仿宋" w:hAnsi="仿宋" w:eastAsia="仿宋"/>
          <w:sz w:val="30"/>
          <w:szCs w:val="30"/>
          <w:lang w:val="en-US" w:eastAsia="zh-CN"/>
        </w:rPr>
        <w:t>32</w:t>
      </w:r>
      <w:r>
        <w:rPr>
          <w:rFonts w:ascii="仿宋" w:hAnsi="仿宋" w:eastAsia="仿宋"/>
          <w:sz w:val="30"/>
          <w:szCs w:val="30"/>
        </w:rPr>
        <w:t>家，名单如下：</w:t>
      </w:r>
    </w:p>
    <w:p>
      <w:pPr>
        <w:pStyle w:val="3"/>
        <w:numPr>
          <w:ilvl w:val="0"/>
          <w:numId w:val="1"/>
        </w:numPr>
        <w:rPr>
          <w:rFonts w:ascii="仿宋" w:hAnsi="仿宋" w:eastAsia="仿宋"/>
          <w:bCs w:val="0"/>
          <w:sz w:val="30"/>
          <w:szCs w:val="30"/>
        </w:rPr>
      </w:pPr>
      <w:bookmarkStart w:id="2" w:name="_Toc6044"/>
      <w:bookmarkStart w:id="3" w:name="_Toc445466102"/>
      <w:r>
        <w:rPr>
          <w:rFonts w:hint="eastAsia" w:ascii="仿宋" w:hAnsi="仿宋" w:eastAsia="仿宋"/>
          <w:bCs w:val="0"/>
          <w:sz w:val="30"/>
          <w:szCs w:val="30"/>
        </w:rPr>
        <w:t>工业企业（</w:t>
      </w:r>
      <w:r>
        <w:rPr>
          <w:rFonts w:hint="eastAsia" w:ascii="仿宋" w:hAnsi="仿宋" w:eastAsia="仿宋"/>
          <w:bCs w:val="0"/>
          <w:sz w:val="30"/>
          <w:szCs w:val="30"/>
          <w:lang w:val="en-US" w:eastAsia="zh-CN"/>
        </w:rPr>
        <w:t>4</w:t>
      </w:r>
      <w:r>
        <w:rPr>
          <w:rFonts w:hint="eastAsia" w:ascii="仿宋" w:hAnsi="仿宋" w:eastAsia="仿宋"/>
          <w:bCs w:val="0"/>
          <w:sz w:val="30"/>
          <w:szCs w:val="30"/>
        </w:rPr>
        <w:t>家）</w:t>
      </w:r>
      <w:bookmarkEnd w:id="2"/>
    </w:p>
    <w:p>
      <w:pPr>
        <w:ind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天津市迅尔仪表科技有限公司</w:t>
      </w:r>
    </w:p>
    <w:p>
      <w:pPr>
        <w:ind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厦门赛尔特电子有限公司</w:t>
      </w:r>
    </w:p>
    <w:p>
      <w:pPr>
        <w:ind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费森尤斯医疗投资（中国）有限公司</w:t>
      </w:r>
    </w:p>
    <w:p>
      <w:pPr>
        <w:ind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万华禾香生态科技股份有限公司</w:t>
      </w:r>
    </w:p>
    <w:p>
      <w:pPr>
        <w:pStyle w:val="3"/>
        <w:rPr>
          <w:rFonts w:ascii="仿宋" w:hAnsi="仿宋" w:eastAsia="仿宋"/>
          <w:bCs w:val="0"/>
          <w:sz w:val="30"/>
          <w:szCs w:val="30"/>
        </w:rPr>
      </w:pPr>
      <w:bookmarkStart w:id="4" w:name="_Toc19597"/>
      <w:r>
        <w:rPr>
          <w:rFonts w:hint="eastAsia" w:ascii="仿宋" w:hAnsi="仿宋" w:eastAsia="仿宋"/>
          <w:bCs w:val="0"/>
          <w:sz w:val="30"/>
          <w:szCs w:val="30"/>
        </w:rPr>
        <w:t>（二）工业解决方案提供商（</w:t>
      </w:r>
      <w:r>
        <w:rPr>
          <w:rFonts w:hint="eastAsia" w:ascii="仿宋" w:hAnsi="仿宋" w:eastAsia="仿宋"/>
          <w:bCs w:val="0"/>
          <w:sz w:val="30"/>
          <w:szCs w:val="30"/>
          <w:lang w:val="en-US" w:eastAsia="zh-CN"/>
        </w:rPr>
        <w:t>25</w:t>
      </w:r>
      <w:r>
        <w:rPr>
          <w:rFonts w:hint="eastAsia" w:ascii="仿宋" w:hAnsi="仿宋" w:eastAsia="仿宋"/>
          <w:bCs w:val="0"/>
          <w:sz w:val="30"/>
          <w:szCs w:val="30"/>
        </w:rPr>
        <w:t>家）</w:t>
      </w:r>
      <w:bookmarkEnd w:id="4"/>
    </w:p>
    <w:p>
      <w:pPr>
        <w:ind w:left="700"/>
        <w:rPr>
          <w:rFonts w:hint="eastAsia" w:ascii="仿宋" w:hAnsi="仿宋" w:eastAsia="仿宋"/>
          <w:sz w:val="28"/>
          <w:szCs w:val="30"/>
          <w:highlight w:val="none"/>
        </w:rPr>
      </w:pPr>
      <w:r>
        <w:rPr>
          <w:rFonts w:hint="eastAsia" w:ascii="仿宋" w:hAnsi="仿宋" w:eastAsia="仿宋"/>
          <w:sz w:val="28"/>
          <w:szCs w:val="30"/>
          <w:highlight w:val="none"/>
        </w:rPr>
        <w:t>南京罕华流体技术有限公司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上海世茂物联网科技有限公司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上海远韬软件科技有限公司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黑龙江省佳电自研科技开发有限公司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万达信息股份有限公司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内蒙古伊泰信息技术有限公司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成都西加云杉科技有限公司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北京海航中软科技有限公司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合肥达朴汇联科技有限公司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北京瑞鹏天乘信息技术有限公司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北京诚公管理咨询有限公司</w:t>
      </w:r>
    </w:p>
    <w:p>
      <w:pPr>
        <w:ind w:left="700"/>
        <w:rPr>
          <w:rFonts w:hint="eastAsia" w:ascii="仿宋" w:hAnsi="仿宋" w:eastAsia="仿宋"/>
          <w:color w:val="0000FF"/>
          <w:sz w:val="28"/>
          <w:szCs w:val="30"/>
          <w:highlight w:val="none"/>
        </w:rPr>
      </w:pPr>
      <w:r>
        <w:rPr>
          <w:rFonts w:hint="eastAsia" w:ascii="仿宋" w:hAnsi="仿宋" w:eastAsia="仿宋"/>
          <w:sz w:val="28"/>
          <w:szCs w:val="30"/>
          <w:highlight w:val="none"/>
        </w:rPr>
        <w:t>广州珂诚信息技术有限公司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深圳市中物互联技术发展有限公司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广西九维时空数字产业发展有限公司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码客工场工业科技（北京）有限公司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广州市锐赛科技有限公司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大连云数据科技有限公司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广东中设智控科技股份有限公司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北京国基科技股份有限公司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深圳市杉岩数据技术有限公司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重庆云江工业互联网有限公司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中仓登数据服务有限公司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北京艾智互联科技有限公司</w:t>
      </w:r>
    </w:p>
    <w:p>
      <w:pPr>
        <w:ind w:left="700"/>
        <w:rPr>
          <w:rFonts w:hint="eastAsia" w:ascii="仿宋" w:hAnsi="仿宋" w:eastAsia="仿宋"/>
          <w:sz w:val="28"/>
          <w:szCs w:val="30"/>
          <w:highlight w:val="none"/>
        </w:rPr>
      </w:pPr>
      <w:r>
        <w:rPr>
          <w:rFonts w:hint="eastAsia" w:ascii="仿宋" w:hAnsi="仿宋" w:eastAsia="仿宋"/>
          <w:sz w:val="28"/>
          <w:szCs w:val="30"/>
          <w:highlight w:val="none"/>
        </w:rPr>
        <w:t>山西省数字证书认证中心（有限公司）</w:t>
      </w:r>
    </w:p>
    <w:p>
      <w:pPr>
        <w:ind w:left="420" w:leftChars="0" w:firstLine="420" w:firstLineChars="0"/>
        <w:rPr>
          <w:rFonts w:hint="eastAsia" w:ascii="仿宋" w:hAnsi="仿宋" w:eastAsia="仿宋"/>
          <w:sz w:val="28"/>
          <w:szCs w:val="30"/>
          <w:highlight w:val="none"/>
        </w:rPr>
      </w:pPr>
      <w:r>
        <w:rPr>
          <w:rFonts w:hint="eastAsia" w:ascii="仿宋" w:hAnsi="仿宋" w:eastAsia="仿宋"/>
          <w:sz w:val="28"/>
          <w:szCs w:val="30"/>
          <w:highlight w:val="none"/>
        </w:rPr>
        <w:t>广州优壹互联科技有限公司</w:t>
      </w:r>
    </w:p>
    <w:p>
      <w:pPr>
        <w:pStyle w:val="3"/>
        <w:rPr>
          <w:rFonts w:hint="default" w:ascii="仿宋" w:hAnsi="仿宋" w:eastAsia="仿宋"/>
          <w:bCs w:val="0"/>
          <w:sz w:val="30"/>
          <w:szCs w:val="30"/>
          <w:lang w:val="en-US" w:eastAsia="zh-CN"/>
        </w:rPr>
      </w:pPr>
      <w:bookmarkStart w:id="5" w:name="_Toc3768"/>
      <w:r>
        <w:rPr>
          <w:rFonts w:hint="eastAsia" w:ascii="仿宋" w:hAnsi="仿宋" w:eastAsia="仿宋"/>
          <w:bCs w:val="0"/>
          <w:sz w:val="30"/>
          <w:szCs w:val="30"/>
        </w:rPr>
        <w:t>（三）</w:t>
      </w:r>
      <w:r>
        <w:rPr>
          <w:rFonts w:hint="eastAsia" w:ascii="仿宋" w:hAnsi="仿宋" w:eastAsia="仿宋"/>
          <w:bCs w:val="0"/>
          <w:sz w:val="30"/>
          <w:szCs w:val="30"/>
          <w:lang w:val="en-US" w:eastAsia="zh-CN"/>
        </w:rPr>
        <w:t>信息通信企业（2家）</w:t>
      </w:r>
      <w:bookmarkEnd w:id="5"/>
    </w:p>
    <w:p>
      <w:pPr>
        <w:ind w:left="280"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武汉亿思源光电股份有限公司</w:t>
      </w:r>
    </w:p>
    <w:p>
      <w:pPr>
        <w:ind w:left="280"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联通雄安产业互联网有限公司</w:t>
      </w:r>
    </w:p>
    <w:p>
      <w:pPr>
        <w:pStyle w:val="3"/>
        <w:rPr>
          <w:rFonts w:ascii="仿宋" w:hAnsi="仿宋" w:eastAsia="仿宋"/>
          <w:bCs w:val="0"/>
          <w:sz w:val="30"/>
          <w:szCs w:val="30"/>
        </w:rPr>
      </w:pPr>
      <w:bookmarkStart w:id="6" w:name="_Toc20847"/>
      <w:r>
        <w:rPr>
          <w:rFonts w:hint="eastAsia" w:ascii="仿宋" w:hAnsi="仿宋" w:eastAsia="仿宋"/>
          <w:bCs w:val="0"/>
          <w:sz w:val="30"/>
          <w:szCs w:val="30"/>
        </w:rPr>
        <w:t>（</w:t>
      </w:r>
      <w:r>
        <w:rPr>
          <w:rFonts w:hint="eastAsia" w:ascii="仿宋" w:hAnsi="仿宋" w:eastAsia="仿宋"/>
          <w:bCs w:val="0"/>
          <w:sz w:val="30"/>
          <w:szCs w:val="30"/>
          <w:lang w:val="en-US" w:eastAsia="zh-CN"/>
        </w:rPr>
        <w:t>四</w:t>
      </w:r>
      <w:r>
        <w:rPr>
          <w:rFonts w:hint="eastAsia" w:ascii="仿宋" w:hAnsi="仿宋" w:eastAsia="仿宋"/>
          <w:bCs w:val="0"/>
          <w:sz w:val="30"/>
          <w:szCs w:val="30"/>
        </w:rPr>
        <w:t>）</w:t>
      </w:r>
      <w:r>
        <w:rPr>
          <w:rFonts w:hint="eastAsia" w:ascii="仿宋" w:hAnsi="仿宋" w:eastAsia="仿宋"/>
          <w:bCs w:val="0"/>
          <w:sz w:val="30"/>
          <w:szCs w:val="30"/>
          <w:lang w:val="en-US" w:eastAsia="zh-CN"/>
        </w:rPr>
        <w:t>高校及科研院所</w:t>
      </w:r>
      <w:r>
        <w:rPr>
          <w:rFonts w:hint="eastAsia" w:ascii="仿宋" w:hAnsi="仿宋" w:eastAsia="仿宋"/>
          <w:bCs w:val="0"/>
          <w:sz w:val="30"/>
          <w:szCs w:val="30"/>
        </w:rPr>
        <w:t>（</w:t>
      </w:r>
      <w:r>
        <w:rPr>
          <w:rFonts w:hint="eastAsia" w:ascii="仿宋" w:hAnsi="仿宋" w:eastAsia="仿宋"/>
          <w:bCs w:val="0"/>
          <w:sz w:val="30"/>
          <w:szCs w:val="30"/>
          <w:lang w:val="en-US" w:eastAsia="zh-CN"/>
        </w:rPr>
        <w:t>1</w:t>
      </w:r>
      <w:r>
        <w:rPr>
          <w:rFonts w:hint="eastAsia" w:ascii="仿宋" w:hAnsi="仿宋" w:eastAsia="仿宋"/>
          <w:bCs w:val="0"/>
          <w:sz w:val="30"/>
          <w:szCs w:val="30"/>
        </w:rPr>
        <w:t>家）</w:t>
      </w:r>
      <w:bookmarkEnd w:id="6"/>
    </w:p>
    <w:p>
      <w:pPr>
        <w:ind w:left="280" w:firstLine="560" w:firstLineChars="200"/>
        <w:rPr>
          <w:rFonts w:hint="eastAsia" w:ascii="仿宋" w:hAnsi="仿宋" w:eastAsia="仿宋"/>
          <w:sz w:val="28"/>
          <w:szCs w:val="30"/>
          <w:highlight w:val="none"/>
        </w:rPr>
      </w:pPr>
      <w:r>
        <w:rPr>
          <w:rFonts w:hint="eastAsia" w:ascii="仿宋" w:hAnsi="仿宋" w:eastAsia="仿宋"/>
          <w:sz w:val="28"/>
          <w:szCs w:val="30"/>
          <w:highlight w:val="none"/>
        </w:rPr>
        <w:t>高质标准化研究院（山东）有限公司</w:t>
      </w:r>
    </w:p>
    <w:bookmarkEnd w:id="3"/>
    <w:p>
      <w:pPr>
        <w:pStyle w:val="2"/>
        <w:rPr>
          <w:rFonts w:ascii="仿宋" w:hAnsi="仿宋" w:eastAsia="仿宋"/>
          <w:sz w:val="32"/>
          <w:szCs w:val="32"/>
        </w:rPr>
      </w:pPr>
      <w:bookmarkStart w:id="7" w:name="_Toc445466117"/>
      <w:r>
        <w:rPr>
          <w:rFonts w:ascii="仿宋" w:hAnsi="仿宋" w:eastAsia="仿宋"/>
          <w:sz w:val="32"/>
          <w:szCs w:val="32"/>
        </w:rPr>
        <w:br w:type="page"/>
      </w:r>
    </w:p>
    <w:p>
      <w:pPr>
        <w:pStyle w:val="2"/>
        <w:rPr>
          <w:rFonts w:ascii="仿宋" w:hAnsi="仿宋" w:eastAsia="仿宋"/>
          <w:sz w:val="32"/>
          <w:szCs w:val="32"/>
        </w:rPr>
      </w:pPr>
      <w:bookmarkStart w:id="8" w:name="_Toc10516"/>
      <w:r>
        <w:rPr>
          <w:rFonts w:hint="eastAsia" w:ascii="仿宋" w:hAnsi="仿宋" w:eastAsia="仿宋"/>
          <w:sz w:val="32"/>
          <w:szCs w:val="32"/>
        </w:rPr>
        <w:t>二、企业介绍</w:t>
      </w:r>
      <w:bookmarkEnd w:id="7"/>
      <w:bookmarkEnd w:id="8"/>
    </w:p>
    <w:p>
      <w:pPr>
        <w:pStyle w:val="3"/>
        <w:numPr>
          <w:ilvl w:val="0"/>
          <w:numId w:val="2"/>
        </w:numPr>
        <w:rPr>
          <w:rFonts w:ascii="仿宋" w:hAnsi="仿宋" w:eastAsia="仿宋"/>
          <w:bCs w:val="0"/>
          <w:sz w:val="30"/>
          <w:szCs w:val="30"/>
          <w:highlight w:val="none"/>
        </w:rPr>
      </w:pPr>
      <w:bookmarkStart w:id="9" w:name="_Toc20605"/>
      <w:r>
        <w:rPr>
          <w:rFonts w:hint="eastAsia" w:ascii="仿宋" w:hAnsi="仿宋" w:eastAsia="仿宋"/>
          <w:bCs w:val="0"/>
          <w:sz w:val="30"/>
          <w:szCs w:val="30"/>
          <w:highlight w:val="none"/>
        </w:rPr>
        <w:t>天津市迅尔仪表科技有限公司</w:t>
      </w:r>
      <w:bookmarkEnd w:id="9"/>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天津市迅尔仪表科技有限公司成立于2006年，专业从事自动化仪表的研发、生产、销售和服务。公司总部坐落于天津市滨海高新区，下设三处工厂，厂区面积共计7.3万余平方米。公司提供电磁流量计、电磁水表、气（液）涡轮流量计、气体腰轮流量计、气（液）超声波流量计、涡街流量计、一体式差压类流量计、质量流量计等共计八大系列产品和服务，并为用户提供系统解决方案。</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迅尔通过构建“终端监测+信息采集+数据传输+应用开发”综合物联平台，面向燃气、水务、热力、市政等领域，在流量计量方面提供“感知+信息+应用”传、控一体的行业解决方案，助力提升用户的经济效益和运营效率。</w:t>
      </w:r>
    </w:p>
    <w:p>
      <w:pPr>
        <w:pStyle w:val="3"/>
        <w:numPr>
          <w:ilvl w:val="0"/>
          <w:numId w:val="2"/>
        </w:numPr>
        <w:rPr>
          <w:rFonts w:ascii="仿宋" w:hAnsi="仿宋" w:eastAsia="仿宋"/>
          <w:bCs w:val="0"/>
          <w:sz w:val="30"/>
          <w:szCs w:val="30"/>
          <w:highlight w:val="none"/>
        </w:rPr>
      </w:pPr>
      <w:bookmarkStart w:id="10" w:name="_Toc26152"/>
      <w:r>
        <w:rPr>
          <w:rFonts w:hint="eastAsia" w:ascii="仿宋" w:hAnsi="仿宋" w:eastAsia="仿宋"/>
          <w:bCs w:val="0"/>
          <w:sz w:val="30"/>
          <w:szCs w:val="30"/>
          <w:highlight w:val="none"/>
        </w:rPr>
        <w:t>厦门赛尔特电子有限公司</w:t>
      </w:r>
      <w:bookmarkEnd w:id="10"/>
    </w:p>
    <w:p>
      <w:pPr>
        <w:ind w:firstLine="600" w:firstLineChars="200"/>
        <w:rPr>
          <w:rFonts w:hint="eastAsia"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lang w:val="en-US" w:eastAsia="zh-CN"/>
        </w:rPr>
        <w:t>厦门赛尔特电子有限公司设计、制造、销售电路控制及安全保护元器件、提供电路安全解决方案。主要产品有：温度保险丝、温控器、压敏电阻、热保护型压敏电阻、电涌保护器、电涌保护模组、气体放电管、线绕熔断小型熔断器、浪涌电流抑制热敏电阻、受控熔断器等，产品广泛用于通信设备、网络设备等领域，为其安全运行提供可靠保障。</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公司</w:t>
      </w:r>
      <w:r>
        <w:rPr>
          <w:rFonts w:hint="eastAsia" w:ascii="仿宋" w:hAnsi="仿宋" w:eastAsia="仿宋" w:cs="宋体"/>
          <w:bCs/>
          <w:kern w:val="0"/>
          <w:sz w:val="30"/>
          <w:szCs w:val="30"/>
          <w:highlight w:val="none"/>
        </w:rPr>
        <w:t>已与业内众多知名企业合作，产品涵盖过温，过流，过压领域，能全面、完整的提供电路保护器件及方案。特别在过压及过温领域优势明显，拥有多项专利技术，及目击测试实验室。领先的设计，实现了产品的小型化，多功能化，产品已销往40多个国家和地区，还与世界500强的部分企业有深远的合作，产品取得CCC、UL、cUL、VDE、TUV、PSE、KC、等认证，符合RoHS、REACH.环保要求，同时获得IATF16949、 ISO9001、ISO14001、ISO4500`等多个管理体系认证，参与多项元器件国标及国际标准制定和修订，深受工业互联网用户青睐。</w:t>
      </w:r>
    </w:p>
    <w:p>
      <w:pPr>
        <w:pStyle w:val="3"/>
        <w:numPr>
          <w:ilvl w:val="0"/>
          <w:numId w:val="2"/>
        </w:numPr>
        <w:rPr>
          <w:rFonts w:hint="eastAsia" w:ascii="仿宋" w:hAnsi="仿宋" w:eastAsia="仿宋"/>
          <w:bCs w:val="0"/>
          <w:sz w:val="30"/>
          <w:szCs w:val="30"/>
          <w:highlight w:val="none"/>
        </w:rPr>
      </w:pPr>
      <w:bookmarkStart w:id="11" w:name="_Toc31912"/>
      <w:r>
        <w:rPr>
          <w:rFonts w:hint="eastAsia" w:ascii="仿宋" w:hAnsi="仿宋" w:eastAsia="仿宋"/>
          <w:bCs w:val="0"/>
          <w:sz w:val="30"/>
          <w:szCs w:val="30"/>
          <w:highlight w:val="none"/>
        </w:rPr>
        <w:t>费森尤斯医疗投资（中国）有限公司</w:t>
      </w:r>
      <w:bookmarkEnd w:id="11"/>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费森尤斯医疗是全球知名的血液净化产品和医疗服务的供应商。全球约有370万肾脏疾病患者定期接受透析治疗。费森尤斯医疗在世界各地拥有4,151家透析诊所中心，为全球约345,000名肾友提供透析治疗。费森尤斯医疗也是透析产品（例如透析机或透析器）的领先供应商。一体化肾脏护理解决方案是我们的核心业务，除此之外，费森尤斯医疗还专注于肾脏相关领域和重症领域的拓展。</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费森尤斯医疗基于4151家透析中心及为345,000名肾病患者的透析治疗经验，肾科领域信息化拥有高达二十多年的丰富经验，同时在中国、德国、美国等地的部署了本土化研发团队，基于在医疗大数据、医疗物联网及医疗人工智能等技术的夯实实践基础之上，为患者、医护、医院临床管理等多方面提供整体化数字化解决方案。</w:t>
      </w:r>
    </w:p>
    <w:p>
      <w:pPr>
        <w:pStyle w:val="3"/>
        <w:numPr>
          <w:ilvl w:val="0"/>
          <w:numId w:val="2"/>
        </w:numPr>
        <w:rPr>
          <w:rFonts w:hint="eastAsia" w:ascii="仿宋" w:hAnsi="仿宋" w:eastAsia="仿宋"/>
          <w:bCs w:val="0"/>
          <w:sz w:val="30"/>
          <w:szCs w:val="30"/>
          <w:highlight w:val="none"/>
        </w:rPr>
      </w:pPr>
      <w:bookmarkStart w:id="12" w:name="_Toc276"/>
      <w:r>
        <w:rPr>
          <w:rFonts w:hint="eastAsia" w:ascii="仿宋" w:hAnsi="仿宋" w:eastAsia="仿宋"/>
          <w:bCs w:val="0"/>
          <w:sz w:val="30"/>
          <w:szCs w:val="30"/>
          <w:highlight w:val="none"/>
        </w:rPr>
        <w:t>万华禾香生态科技股份有限公司</w:t>
      </w:r>
      <w:bookmarkEnd w:id="12"/>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公司成立于2006年,以“屋顶之下、本该无醛" 为愿景，以“绿色大家居产业生态运营商”为发展定位，目前已发展成为下辖17个分 子公司6大产业模块的绿色大家居产业生态，在十余年的产业布局和发展过程中，始终坚定不移地响应国家和党的号召，以保护环境、促进可持续发展为己任，现已成为规模化生产无醛添加秸秆板材的供应商、全套装备研发设计集成商和绿色智能化家居整体解决方案互联网平台的运营商。</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公司未来战略目标是“中国无醛添加人造板行业标杆及龙头企业”，为实现该目标</w:t>
      </w:r>
      <w:r>
        <w:rPr>
          <w:rFonts w:hint="eastAsia" w:ascii="仿宋" w:hAnsi="仿宋" w:eastAsia="仿宋" w:cs="宋体"/>
          <w:bCs/>
          <w:kern w:val="0"/>
          <w:sz w:val="30"/>
          <w:szCs w:val="30"/>
          <w:highlight w:val="none"/>
          <w:lang w:val="en-US" w:eastAsia="zh-CN"/>
        </w:rPr>
        <w:t>公司将</w:t>
      </w:r>
      <w:r>
        <w:rPr>
          <w:rFonts w:hint="eastAsia" w:ascii="仿宋" w:hAnsi="仿宋" w:eastAsia="仿宋" w:cs="宋体"/>
          <w:bCs/>
          <w:kern w:val="0"/>
          <w:sz w:val="30"/>
          <w:szCs w:val="30"/>
          <w:highlight w:val="none"/>
        </w:rPr>
        <w:t>通过以下技术硏究实践：5G工业互联网工厂基础设施；无代码工业互联网 平台；无代码管理软件；工厂数字孪生模型；工业APP的应用；光伏技术；RPA技术 ；建设了以万华禾香工业互联网平台为基础的大家居工业园区的创新应用，包括：集装箱式数据中心</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基于5G+RPA技术的智慧料场</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工业APP应用</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无代码平台</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无代码工业互联网平台</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人员培养创新应用</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光伏管理创新应用</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基于数字孪生技术的数字指挥中心等等</w:t>
      </w:r>
      <w:r>
        <w:rPr>
          <w:rFonts w:hint="eastAsia" w:ascii="仿宋" w:hAnsi="仿宋" w:eastAsia="仿宋" w:cs="宋体"/>
          <w:bCs/>
          <w:kern w:val="0"/>
          <w:sz w:val="30"/>
          <w:szCs w:val="30"/>
          <w:highlight w:val="none"/>
          <w:lang w:eastAsia="zh-CN"/>
        </w:rPr>
        <w:t>。</w:t>
      </w:r>
    </w:p>
    <w:p>
      <w:pPr>
        <w:pStyle w:val="3"/>
        <w:numPr>
          <w:ilvl w:val="0"/>
          <w:numId w:val="2"/>
        </w:numPr>
        <w:rPr>
          <w:rFonts w:hint="eastAsia" w:ascii="仿宋" w:hAnsi="仿宋" w:eastAsia="仿宋"/>
          <w:bCs w:val="0"/>
          <w:sz w:val="30"/>
          <w:szCs w:val="30"/>
          <w:highlight w:val="none"/>
        </w:rPr>
      </w:pPr>
      <w:bookmarkStart w:id="13" w:name="_Toc28855"/>
      <w:r>
        <w:rPr>
          <w:rFonts w:hint="eastAsia" w:ascii="仿宋" w:hAnsi="仿宋" w:eastAsia="仿宋"/>
          <w:bCs w:val="0"/>
          <w:sz w:val="30"/>
          <w:szCs w:val="30"/>
          <w:highlight w:val="none"/>
        </w:rPr>
        <w:t>南京罕华流体技术有限公司</w:t>
      </w:r>
      <w:bookmarkEnd w:id="13"/>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南京罕华流体技术有限公司为国家高新技术企业、江苏省双创企业，由多名博士研究生联合创立，罕华是最早从事精准计量解决方案的商业化公司，是钢铁企业能源系统数据精准性领域的引领者。罕华团队已到访的国内工业现场超过600个，设计单位超过70家，做过的解决方案超过110个。</w:t>
      </w:r>
    </w:p>
    <w:p>
      <w:pPr>
        <w:ind w:firstLine="600" w:firstLineChars="200"/>
        <w:rPr>
          <w:rFonts w:hint="eastAsia" w:ascii="仿宋" w:hAnsi="仿宋" w:eastAsia="仿宋" w:cs="宋体"/>
          <w:bCs/>
          <w:kern w:val="0"/>
          <w:sz w:val="30"/>
          <w:szCs w:val="30"/>
          <w:highlight w:val="yellow"/>
          <w:lang w:val="en-US" w:eastAsia="zh-CN"/>
        </w:rPr>
      </w:pPr>
      <w:r>
        <w:rPr>
          <w:rFonts w:hint="eastAsia" w:ascii="仿宋" w:hAnsi="仿宋" w:eastAsia="仿宋" w:cs="宋体"/>
          <w:bCs/>
          <w:kern w:val="0"/>
          <w:sz w:val="30"/>
          <w:szCs w:val="30"/>
          <w:highlight w:val="none"/>
          <w:lang w:val="en-US" w:eastAsia="zh-CN"/>
        </w:rPr>
        <w:t>公司</w:t>
      </w:r>
      <w:r>
        <w:rPr>
          <w:rFonts w:hint="eastAsia" w:ascii="仿宋" w:hAnsi="仿宋" w:eastAsia="仿宋" w:cs="宋体"/>
          <w:bCs/>
          <w:kern w:val="0"/>
          <w:sz w:val="30"/>
          <w:szCs w:val="30"/>
          <w:highlight w:val="none"/>
        </w:rPr>
        <w:t>核心团队多人为工学博士学历</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核心成员均有国际知名企业经历，富有专业知识与一线经验</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人才结构中硕博占比超过70%</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技术国内引领，产品国内首创</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拥有发明专利为主的完全自主知识产权130项</w:t>
      </w:r>
      <w:r>
        <w:rPr>
          <w:rFonts w:hint="eastAsia" w:ascii="仿宋" w:hAnsi="仿宋" w:eastAsia="仿宋" w:cs="宋体"/>
          <w:bCs/>
          <w:kern w:val="0"/>
          <w:sz w:val="30"/>
          <w:szCs w:val="30"/>
          <w:highlight w:val="none"/>
          <w:lang w:eastAsia="zh-CN"/>
        </w:rPr>
        <w:t>，</w:t>
      </w:r>
      <w:r>
        <w:rPr>
          <w:rFonts w:hint="eastAsia" w:ascii="仿宋" w:hAnsi="仿宋" w:eastAsia="仿宋" w:cs="宋体"/>
          <w:bCs/>
          <w:kern w:val="0"/>
          <w:sz w:val="30"/>
          <w:szCs w:val="30"/>
          <w:highlight w:val="none"/>
        </w:rPr>
        <w:t>研发投入占比多年超过25%</w:t>
      </w:r>
      <w:r>
        <w:rPr>
          <w:rFonts w:hint="eastAsia" w:ascii="仿宋" w:hAnsi="仿宋" w:eastAsia="仿宋" w:cs="宋体"/>
          <w:bCs/>
          <w:kern w:val="0"/>
          <w:sz w:val="30"/>
          <w:szCs w:val="30"/>
          <w:highlight w:val="none"/>
          <w:lang w:eastAsia="zh-CN"/>
        </w:rPr>
        <w:t>。</w:t>
      </w:r>
    </w:p>
    <w:p>
      <w:pPr>
        <w:pStyle w:val="3"/>
        <w:numPr>
          <w:ilvl w:val="0"/>
          <w:numId w:val="2"/>
        </w:numPr>
        <w:rPr>
          <w:rFonts w:ascii="仿宋" w:hAnsi="仿宋" w:eastAsia="仿宋"/>
          <w:bCs w:val="0"/>
          <w:sz w:val="30"/>
          <w:szCs w:val="30"/>
          <w:highlight w:val="none"/>
        </w:rPr>
      </w:pPr>
      <w:bookmarkStart w:id="14" w:name="_Toc27911"/>
      <w:r>
        <w:rPr>
          <w:rFonts w:hint="eastAsia" w:ascii="仿宋" w:hAnsi="仿宋" w:eastAsia="仿宋"/>
          <w:bCs w:val="0"/>
          <w:sz w:val="30"/>
          <w:szCs w:val="30"/>
          <w:highlight w:val="none"/>
        </w:rPr>
        <w:t>上海世茂物联网科技有限公司</w:t>
      </w:r>
      <w:bookmarkEnd w:id="14"/>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世茂物联是世茂服务旗下的高科技企业，空间智能化领域的综合服务商，致力于全空间智慧场景的创设和引领，从而为用户带来更多的智慧生活创想。世茂物联以“人因智能”为理念，凭借对空间和场景的独特理解以及强大的技术实力与生态整合力，实现了对全空间的整体运营，建立具备竞争优势的整体解决方案能力，为客户提供从“空间设计-产品研发-集成交付-综合运营”的全生命周期服务。</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世茂物联在园区运营的过程中，大幅度提高园区企业的参与感和安全感，推动园区管理单位由管理型向服务型转型。在整个服务体系中，世茂物联通过“服务+管理+运营”的模式，结合城市服务信息化方面的优势，以应用价值为驱动和引领，以数据资源为基础，以平台技术为保障构建数据全面、技术领先、应用价值强大的园区治理大数据平台，实现园区事件智能感知与智能处理。</w:t>
      </w:r>
    </w:p>
    <w:p>
      <w:pPr>
        <w:pStyle w:val="3"/>
        <w:numPr>
          <w:ilvl w:val="0"/>
          <w:numId w:val="2"/>
        </w:numPr>
        <w:rPr>
          <w:rFonts w:hint="eastAsia" w:ascii="仿宋" w:hAnsi="仿宋" w:eastAsia="仿宋"/>
          <w:bCs w:val="0"/>
          <w:sz w:val="30"/>
          <w:szCs w:val="30"/>
          <w:highlight w:val="none"/>
        </w:rPr>
      </w:pPr>
      <w:bookmarkStart w:id="15" w:name="_Toc4253"/>
      <w:r>
        <w:rPr>
          <w:rFonts w:hint="eastAsia" w:ascii="仿宋" w:hAnsi="仿宋" w:eastAsia="仿宋"/>
          <w:bCs w:val="0"/>
          <w:sz w:val="30"/>
          <w:szCs w:val="30"/>
          <w:highlight w:val="none"/>
        </w:rPr>
        <w:t>上海远韬软件科技有限公司</w:t>
      </w:r>
      <w:bookmarkEnd w:id="15"/>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远韬科技成立于2011年，始终聚焦工业4.0、智能制造、商业AI赋能，是领先的整合服务商，集系统研发、集成运营与战略咨询于一身。凭借极为卓越的研发实力，专业创新的理念和服务，以及敏捷高效的客户支持，远韬赢得了众多品牌客户信赖，行业覆盖奢侈品、媒体、政府机构、工业4.0产业、教育、快消、城市服务、地产等诸多领域。</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远韬科技拥有一流教育背景和专业经历的团队、国际先进的研发技术，以全球视野开展技术洞察，凭借国内外互联网行业的深厚积累及创新领域的不断开拓，实现从战略到实施的创新与变革。从基于μITRON/T-Kernel的操作系统移植开发、Linux/Android系统定制开发、图像识别语音交互等人工智能服务，到基于ROS机器人操作系统的整体解决方案，始终聚焦操作系统领域，提供全面、灵活的整体系统解决方案。在白酒制造、电机、工业内窥镜等多个行业和项目有优秀案例。</w:t>
      </w:r>
    </w:p>
    <w:p>
      <w:pPr>
        <w:pStyle w:val="3"/>
        <w:numPr>
          <w:ilvl w:val="0"/>
          <w:numId w:val="2"/>
        </w:numPr>
        <w:rPr>
          <w:rFonts w:ascii="仿宋" w:hAnsi="仿宋" w:eastAsia="仿宋"/>
          <w:bCs w:val="0"/>
          <w:sz w:val="30"/>
          <w:szCs w:val="30"/>
          <w:highlight w:val="none"/>
        </w:rPr>
      </w:pPr>
      <w:bookmarkStart w:id="16" w:name="_Toc11706"/>
      <w:r>
        <w:rPr>
          <w:rFonts w:hint="eastAsia" w:ascii="仿宋" w:hAnsi="仿宋" w:eastAsia="仿宋"/>
          <w:bCs w:val="0"/>
          <w:sz w:val="30"/>
          <w:szCs w:val="30"/>
          <w:highlight w:val="none"/>
        </w:rPr>
        <w:t>黑龙江省佳电自研科技开发有限公司</w:t>
      </w:r>
      <w:bookmarkEnd w:id="16"/>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黑龙江省佳电自研科技开发有限公司的前身是成立于2005年的佳木斯大学电气自动化和计算机研究所。2014年9月，在李克强总理于夏季达沃斯论坛上公开提出的“大众创业、万众创新”的政策感召下，以研究所为基础成立了“黑龙江省佳电自研科技开发有限公司”，公司采取股份制，按照现代企业模式运营。公司在2018年度科技部中国创新创业大赛黑龙江赛区获得优胜企业称号并入围国赛，于2020年获批国家级高新技术企业称号。</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根据自身技术优势和地域特点，确立了“物联网”和“自动化”两个主要业务方向。公司采取“产品研发”和“成果转化与工程应用”并举的模式，取得了优秀的业绩。公司开发的“绿色有机水稻质量安全追溯系统”、“互联网+农业综合管理平台”等用于汤原县太平川乡“农技服务体系物联网工程”和农垦总局洪河农场、浓江农场互联网+项目；开发的物联网网关和RTU模块应用于中国农科院信息所“水稻育种催芽车间原型”和佳木斯市传媒大厦空调集控项目中。</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2021年度开发的工业互联网项目-“制药机械远程运维云平台”已应用于黑龙江迪尔制药机械有限责任公司，为企业产品升级和售后服务提供了技术支撑，这是黑龙江省东工业物联网应用的典型案例</w:t>
      </w:r>
      <w:r>
        <w:rPr>
          <w:rFonts w:hint="eastAsia" w:ascii="仿宋" w:hAnsi="仿宋" w:eastAsia="仿宋" w:cs="宋体"/>
          <w:bCs/>
          <w:kern w:val="0"/>
          <w:sz w:val="30"/>
          <w:szCs w:val="30"/>
          <w:highlight w:val="none"/>
          <w:lang w:eastAsia="zh-CN"/>
        </w:rPr>
        <w:t>。</w:t>
      </w:r>
    </w:p>
    <w:p>
      <w:pPr>
        <w:ind w:firstLine="600" w:firstLineChars="200"/>
        <w:rPr>
          <w:rFonts w:hint="eastAsia" w:ascii="仿宋" w:hAnsi="仿宋" w:eastAsia="仿宋" w:cs="宋体"/>
          <w:bCs/>
          <w:kern w:val="0"/>
          <w:sz w:val="30"/>
          <w:szCs w:val="30"/>
          <w:highlight w:val="none"/>
          <w:lang w:eastAsia="zh-CN"/>
        </w:rPr>
      </w:pPr>
    </w:p>
    <w:p>
      <w:pPr>
        <w:pStyle w:val="3"/>
        <w:numPr>
          <w:ilvl w:val="0"/>
          <w:numId w:val="2"/>
        </w:numPr>
        <w:rPr>
          <w:rFonts w:ascii="仿宋" w:hAnsi="仿宋" w:eastAsia="仿宋"/>
          <w:bCs w:val="0"/>
          <w:sz w:val="30"/>
          <w:szCs w:val="30"/>
          <w:highlight w:val="none"/>
        </w:rPr>
      </w:pPr>
      <w:bookmarkStart w:id="17" w:name="_Toc2679"/>
      <w:r>
        <w:rPr>
          <w:rFonts w:hint="eastAsia" w:ascii="仿宋" w:hAnsi="仿宋" w:eastAsia="仿宋"/>
          <w:bCs w:val="0"/>
          <w:sz w:val="30"/>
          <w:szCs w:val="30"/>
          <w:highlight w:val="none"/>
        </w:rPr>
        <w:t>万达信息股份有限公司</w:t>
      </w:r>
      <w:bookmarkEnd w:id="17"/>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万达信息股份有限公司是国内领先的智慧城市整体解决方案提供商之一。作为国家规划布局内重点软件企业，万达信息拥有国际一流的资质，是全国首家整体通过CMMI5（软件能力成熟度模型最高等级）认证的企业。万达信息的业务涵盖医疗卫生、智慧政务、市场监管、民生保障、城市安全、智慧教育、ICT信息科技创新、健康管理和智慧城市公共平台的建设与运营。其中，卫生健康、民生保障、智慧城市公共平台等公司业务服务全国8亿人口</w:t>
      </w:r>
      <w:r>
        <w:rPr>
          <w:rFonts w:hint="eastAsia" w:ascii="仿宋" w:hAnsi="仿宋" w:eastAsia="仿宋" w:cs="宋体"/>
          <w:bCs/>
          <w:kern w:val="0"/>
          <w:sz w:val="30"/>
          <w:szCs w:val="30"/>
          <w:highlight w:val="none"/>
          <w:lang w:eastAsia="zh-CN"/>
        </w:rPr>
        <w:t>。</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万达信息作为工信部电信研究院共同申报“CID物联网标识”课题联合单位，为国家物联网标识公共服务平台的CID子平台开发了CID注册、解析、分配管理、公共查询、安全认证、数据中心等系统，2016年底在中科院学部礼堂及广东中科院南沙基地做初验和终验。万达信息以应用为导向，以试点示范为抓手，在产品溯源、农业物联网、智慧环保、智慧城管等，CID物联网标识分别在河南信阳、山东临沂及宁夏吴忠等地的智慧城市建设中进行试点应用及推广。</w:t>
      </w:r>
    </w:p>
    <w:p>
      <w:pPr>
        <w:pStyle w:val="3"/>
        <w:numPr>
          <w:ilvl w:val="0"/>
          <w:numId w:val="2"/>
        </w:numPr>
        <w:rPr>
          <w:rFonts w:ascii="仿宋" w:hAnsi="仿宋" w:eastAsia="仿宋"/>
          <w:bCs w:val="0"/>
          <w:sz w:val="30"/>
          <w:szCs w:val="30"/>
          <w:highlight w:val="none"/>
        </w:rPr>
      </w:pPr>
      <w:bookmarkStart w:id="18" w:name="_Toc13561"/>
      <w:r>
        <w:rPr>
          <w:rFonts w:hint="eastAsia" w:ascii="仿宋" w:hAnsi="仿宋" w:eastAsia="仿宋"/>
          <w:bCs w:val="0"/>
          <w:sz w:val="30"/>
          <w:szCs w:val="30"/>
          <w:highlight w:val="none"/>
        </w:rPr>
        <w:t>内蒙古伊泰信息技术有限公司</w:t>
      </w:r>
      <w:bookmarkEnd w:id="18"/>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伊泰信息为国家高新技术企业，是一家致力于能源行业数字化解决方案及信息技术综合服务提供商。公司前身是伊泰集团的信息管理中心，依托伊泰集团多元化产业资源与信息化建设实践，积累了丰富的行业经验，现已构建起完整的IT服务价值链，为客户提供咨询、研发、集成和运维等贯穿信息化建设整个生命周期的服务。公司被评为煤炭工业两化融合先进单位、自治区级企业研究开发中心，鄂尔多斯市产业创业人才团队、诚信示范企业。</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致力于通过大数据、物联网、人工智能等新一代信息技术的研究与应用，推动煤炭产业工业互联网创新应用发展。公司自主研发了煤炭供应链工业互联网平台系列软、硬件产品，基本解决煤炭供应链数据无法共享的现状，为煤炭全业务链提供完整的业务支持和流程支撑，技术处于行业领先水平，对各企业具有广泛的应用价值和经济利益。公司通过物联网技术的研究与应用，自主研发现场管理智能控制仪，实现设备与设备互联互通，支持OPC、MQ、RS232、RS485、SSH、SIP等多种数据协议，可接入不同类型地磅、采样机装备、火车轨道衡设备、自动装车系统、化验室设施设备及信息系统等设备实施，化繁为简，实现工业互联与数据采集应用。</w:t>
      </w:r>
    </w:p>
    <w:p>
      <w:pPr>
        <w:pStyle w:val="3"/>
        <w:numPr>
          <w:ilvl w:val="0"/>
          <w:numId w:val="2"/>
        </w:numPr>
        <w:rPr>
          <w:rFonts w:ascii="仿宋" w:hAnsi="仿宋" w:eastAsia="仿宋"/>
          <w:bCs w:val="0"/>
          <w:sz w:val="30"/>
          <w:szCs w:val="30"/>
          <w:highlight w:val="none"/>
        </w:rPr>
      </w:pPr>
      <w:bookmarkStart w:id="19" w:name="_Toc7289"/>
      <w:r>
        <w:rPr>
          <w:rFonts w:hint="eastAsia" w:ascii="仿宋" w:hAnsi="仿宋" w:eastAsia="仿宋"/>
          <w:bCs w:val="0"/>
          <w:sz w:val="30"/>
          <w:szCs w:val="30"/>
          <w:highlight w:val="none"/>
        </w:rPr>
        <w:t>成都西加云杉科技有限公司</w:t>
      </w:r>
      <w:bookmarkEnd w:id="19"/>
    </w:p>
    <w:p>
      <w:pPr>
        <w:ind w:firstLine="600" w:firstLineChars="200"/>
        <w:rPr>
          <w:rFonts w:hint="eastAsia" w:ascii="仿宋" w:hAnsi="仿宋" w:eastAsia="仿宋"/>
          <w:bCs/>
          <w:sz w:val="30"/>
          <w:szCs w:val="30"/>
          <w:highlight w:val="none"/>
        </w:rPr>
      </w:pPr>
      <w:r>
        <w:rPr>
          <w:rFonts w:hint="eastAsia" w:ascii="仿宋" w:hAnsi="仿宋" w:eastAsia="仿宋"/>
          <w:bCs/>
          <w:sz w:val="30"/>
          <w:szCs w:val="30"/>
          <w:highlight w:val="none"/>
        </w:rPr>
        <w:t>成都西加云杉科技有限公司成立于2012年，公司总部坐落于四川省成都高新区，公司获得高新技术企业、四川省企业技术中心、四川省经信厅认定的首批八家信息消费示范企业之一，四川省和成都市高层次人才创新创业团队。公司以美国硅谷技术为核心，建立硅谷，成都及新北三地研发中心，并在北京，香港，硅谷设立营销中心。公司现已申请100多项发明专利，授权发明专利已超过50项，同时还拥有超过20余项的国际发明专利</w:t>
      </w:r>
      <w:r>
        <w:rPr>
          <w:rFonts w:hint="eastAsia" w:ascii="仿宋" w:hAnsi="仿宋" w:eastAsia="仿宋"/>
          <w:bCs/>
          <w:sz w:val="30"/>
          <w:szCs w:val="30"/>
          <w:highlight w:val="none"/>
          <w:lang w:eastAsia="zh-CN"/>
        </w:rPr>
        <w:t>。</w:t>
      </w:r>
      <w:r>
        <w:rPr>
          <w:rFonts w:hint="eastAsia" w:ascii="仿宋" w:hAnsi="仿宋" w:eastAsia="仿宋"/>
          <w:bCs/>
          <w:sz w:val="30"/>
          <w:szCs w:val="30"/>
          <w:highlight w:val="none"/>
        </w:rPr>
        <w:t xml:space="preserve"> </w:t>
      </w:r>
    </w:p>
    <w:p>
      <w:pPr>
        <w:ind w:firstLine="600" w:firstLineChars="200"/>
        <w:rPr>
          <w:rFonts w:ascii="仿宋" w:hAnsi="仿宋" w:eastAsia="仿宋"/>
          <w:bCs/>
          <w:sz w:val="30"/>
          <w:szCs w:val="30"/>
          <w:highlight w:val="none"/>
        </w:rPr>
      </w:pPr>
      <w:r>
        <w:rPr>
          <w:rFonts w:hint="eastAsia" w:ascii="仿宋" w:hAnsi="仿宋" w:eastAsia="仿宋"/>
          <w:bCs/>
          <w:sz w:val="30"/>
          <w:szCs w:val="30"/>
          <w:highlight w:val="none"/>
        </w:rPr>
        <w:t>公司致力于解决运营商4G/5G与Wi-Fi融合的用户体验（QoE: Quality of Experience) 问题，为运营商以及众多智慧园区、智慧城市的运营提供信息高速公路的优质基础支撑及大数据采集运营大平台。该平台具有管控规模大，扩展性极强，用户体验好，易管理，兼容包括5G小基站在内的未来无线接入技术，采集大数据和支持各种智慧应用的开放接口等特性。针对工业互联网相关的产品有工业级交换机，工业级AP</w:t>
      </w:r>
      <w:r>
        <w:rPr>
          <w:rFonts w:hint="eastAsia" w:ascii="仿宋" w:hAnsi="仿宋" w:eastAsia="仿宋"/>
          <w:bCs/>
          <w:sz w:val="30"/>
          <w:szCs w:val="30"/>
          <w:highlight w:val="none"/>
          <w:lang w:val="en-US" w:eastAsia="zh-CN"/>
        </w:rPr>
        <w:t>P</w:t>
      </w:r>
      <w:r>
        <w:rPr>
          <w:rFonts w:hint="eastAsia" w:ascii="仿宋" w:hAnsi="仿宋" w:eastAsia="仿宋"/>
          <w:bCs/>
          <w:sz w:val="30"/>
          <w:szCs w:val="30"/>
          <w:highlight w:val="none"/>
        </w:rPr>
        <w:t xml:space="preserve">，工业级SD-WAN安全网关，以及管控平台；解决工业场景有线无线一体化接入、和安全控制，以及业务赋能平台。 </w:t>
      </w:r>
    </w:p>
    <w:p>
      <w:pPr>
        <w:pStyle w:val="3"/>
        <w:numPr>
          <w:ilvl w:val="0"/>
          <w:numId w:val="2"/>
        </w:numPr>
        <w:rPr>
          <w:rFonts w:ascii="仿宋" w:hAnsi="仿宋" w:eastAsia="仿宋"/>
          <w:bCs w:val="0"/>
          <w:sz w:val="30"/>
          <w:szCs w:val="30"/>
          <w:highlight w:val="none"/>
        </w:rPr>
      </w:pPr>
      <w:bookmarkStart w:id="20" w:name="_Toc30036"/>
      <w:r>
        <w:rPr>
          <w:rFonts w:hint="eastAsia" w:ascii="仿宋" w:hAnsi="仿宋" w:eastAsia="仿宋"/>
          <w:bCs w:val="0"/>
          <w:sz w:val="30"/>
          <w:szCs w:val="30"/>
          <w:highlight w:val="none"/>
        </w:rPr>
        <w:t>北京海航中软科技有限公司</w:t>
      </w:r>
      <w:bookmarkEnd w:id="20"/>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猿人行走隶属于北京海航中软科技有限公司。以深度学习可视化分析为核心竞争力，致力于提升边缘计算能力与人工智能工程的研究及应用。通过物联网前端视觉触景，打造“算法、算力、数据和工程化”四位一体的AI新生态。</w:t>
      </w:r>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猿人行走始终坚持自主创新之路，拥有全栈式人工智能核心自研技术，自主研发算法底层框架，将通常情况下定制开发的边缘计算场景周期120天，缩短为50天。采用专门针对边缘场景设计的嵌入式系统，通过对GPU/NPU平台的深刻理解和GPU/NPU技术资源的积累，以及对行业市场趋势的洞察，推出深度学习算法的视频结构化行为分析盒-ApemanAI视频分析边缘盒，可在高集成、低功耗、轻量化场景下提供最具性价比的算力和算法，为客户创造极致效能。</w:t>
      </w:r>
    </w:p>
    <w:p>
      <w:pPr>
        <w:pStyle w:val="3"/>
        <w:numPr>
          <w:ilvl w:val="0"/>
          <w:numId w:val="2"/>
        </w:numPr>
        <w:rPr>
          <w:rFonts w:ascii="仿宋" w:hAnsi="仿宋" w:eastAsia="仿宋"/>
          <w:bCs w:val="0"/>
          <w:sz w:val="30"/>
          <w:szCs w:val="30"/>
          <w:highlight w:val="none"/>
        </w:rPr>
      </w:pPr>
      <w:bookmarkStart w:id="21" w:name="_Toc12123"/>
      <w:r>
        <w:rPr>
          <w:rFonts w:hint="eastAsia" w:ascii="仿宋" w:hAnsi="仿宋" w:eastAsia="仿宋"/>
          <w:bCs w:val="0"/>
          <w:sz w:val="30"/>
          <w:szCs w:val="30"/>
          <w:highlight w:val="none"/>
        </w:rPr>
        <w:t>合肥达朴汇联科技有限公司</w:t>
      </w:r>
      <w:r>
        <w:rPr>
          <w:rFonts w:ascii="Calibri" w:hAnsi="Calibri" w:eastAsia="仿宋" w:cs="Calibri"/>
          <w:bCs w:val="0"/>
          <w:sz w:val="30"/>
          <w:szCs w:val="30"/>
          <w:highlight w:val="none"/>
        </w:rPr>
        <w:t> </w:t>
      </w:r>
      <w:bookmarkEnd w:id="21"/>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合肥达朴汇联科技有限公司是一家专注于物联网区块链平台与机密计算的公司，公司于2017年成立，现为高新技术企业，是信通院可信区块链推进计划理事单位、北京物联网协会理事单位、安徽省合肥市区块链产业联盟副理事长单位和合肥市高新区区块链产业联盟理事长单位。公司的主要产品包括区块链Dappley、机密计算、隐私计算、供应链金融、区块链设备身份认证系统等。</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在基于区块链去中心化身份的工业互联网标识解析解决方案中拥有丰富的经验。通过和中国联通研究院的深度合作，首次在行业内将区块链集成在eSIM卡内。以及中标中国联通研究院确定性身份管理技术验证系统项目并顺利验收，成功进行了基于区块链去中心化身份的确定性网络设备身份管理的技术验证。</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公司后续会继续加快产业化基于区块链去中心化身份工业互联网标识解析方案，以及拓展基于该方案的应用场景。例如基于去中心化身份的设备点对点安全传输基础软件研发，以及基于去中心化身份的设备泛在接入基础软件研发等。</w:t>
      </w:r>
    </w:p>
    <w:p>
      <w:pPr>
        <w:pStyle w:val="3"/>
        <w:numPr>
          <w:ilvl w:val="0"/>
          <w:numId w:val="2"/>
        </w:numPr>
        <w:rPr>
          <w:rFonts w:ascii="仿宋" w:hAnsi="仿宋" w:eastAsia="仿宋"/>
          <w:bCs w:val="0"/>
          <w:sz w:val="30"/>
          <w:szCs w:val="30"/>
          <w:highlight w:val="none"/>
        </w:rPr>
      </w:pPr>
      <w:bookmarkStart w:id="22" w:name="_Toc7019"/>
      <w:r>
        <w:rPr>
          <w:rFonts w:hint="eastAsia" w:ascii="仿宋" w:hAnsi="仿宋" w:eastAsia="仿宋"/>
          <w:bCs w:val="0"/>
          <w:sz w:val="30"/>
          <w:szCs w:val="30"/>
          <w:highlight w:val="none"/>
        </w:rPr>
        <w:t>北京瑞鹏天乘信息技术有限公司</w:t>
      </w:r>
      <w:bookmarkEnd w:id="22"/>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北京瑞鹏天乘信息技术有限公司成立于2012年，先后取得国高新、中高新、保密二级、涉密系统集成、GJB9001C、CMMI三级等资质证书，多年深耕工业互联网、智能制造、大数据等业务领域。公司始终以精准的需求分析能力、专业的技术研发力量和全方位的服务运维保障，为客户提供高品质自主工业软件技术与产品，同时打造了一流的项目科研服务团队，具备丰富的工业互联网工程实践经验，项目实施效果得到客户的广泛好评！</w:t>
      </w:r>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多年深耕军工领域工业互联网技术与产品，积累了丰富的项目实施经验及客户口碑，并不断求变求新，积极适应智能化及国产化发展趋势，依托微服务、大数据及人工智能等先进技术，打造了国产自主工业软件品牌“瑞云（Real Cloud）”，通过构建新一代工业互联网SaaS云平台及工业APP微服务，为企业用户提供设备物联、能源管控、制造协同、工业大脑等一站式解决方案。面向生产制造过程中库存消耗预测、物料动态管理、生产智能排程、质量工艺提升等“细、专、难”等典型应用场景，通过智能建模、挖掘分析等手段，帮助企业解决应用问题、提升潜在价值，赋能制造企业实现数字化向智能化转型升级。</w:t>
      </w:r>
    </w:p>
    <w:p>
      <w:pPr>
        <w:pStyle w:val="3"/>
        <w:numPr>
          <w:ilvl w:val="0"/>
          <w:numId w:val="2"/>
        </w:numPr>
        <w:rPr>
          <w:rFonts w:ascii="仿宋" w:hAnsi="仿宋" w:eastAsia="仿宋"/>
          <w:bCs w:val="0"/>
          <w:sz w:val="30"/>
          <w:szCs w:val="30"/>
          <w:highlight w:val="none"/>
        </w:rPr>
      </w:pPr>
      <w:bookmarkStart w:id="23" w:name="_Toc4350"/>
      <w:r>
        <w:rPr>
          <w:rFonts w:hint="eastAsia" w:ascii="仿宋" w:hAnsi="仿宋" w:eastAsia="仿宋"/>
          <w:bCs w:val="0"/>
          <w:sz w:val="30"/>
          <w:szCs w:val="30"/>
          <w:highlight w:val="none"/>
        </w:rPr>
        <w:t>北京诚公管理咨询有限公司</w:t>
      </w:r>
      <w:bookmarkEnd w:id="23"/>
    </w:p>
    <w:p>
      <w:pPr>
        <w:ind w:firstLine="6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北京诚公管理咨询有限公司，是央企中国通信建设集团有限公司设立的子公司，是一家集通信工程监理、工程技术咨询、招标代理、保险经纪代理、培训咨询等业务的管理咨询企业。2001年7月，公司已通过了ISO9001:2000国际质量标准认证。北京诚公总部设在北京，同时在北京、保定、西安、武汉和郑州等地设有分公司。公司总用工人数为 2316 人。</w:t>
      </w:r>
    </w:p>
    <w:p>
      <w:pPr>
        <w:ind w:firstLine="6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北京诚公管理咨询有限公司拥有高、中级工程技术专业人员900 余人，是一个技术力量雄厚、专业齐全的智力密集型通信工程咨询管理企业，公司在我国通信骨干网（包括我国第一条光缆工程试验段和“八纵八横”光缆骨干网）建设中多年承担工程指挥等管理和技术工作。先后与中国电信、中国移动、中国联通三大电信运营商及其在各省的下属企业建立了广泛密切的联系，竭诚为国内外顾客提供优质、满意的监理和咨询服务。</w:t>
      </w:r>
    </w:p>
    <w:p>
      <w:pPr>
        <w:pStyle w:val="3"/>
        <w:numPr>
          <w:ilvl w:val="0"/>
          <w:numId w:val="2"/>
        </w:numPr>
        <w:rPr>
          <w:rFonts w:ascii="仿宋" w:hAnsi="仿宋" w:eastAsia="仿宋"/>
          <w:bCs w:val="0"/>
          <w:sz w:val="30"/>
          <w:szCs w:val="30"/>
          <w:highlight w:val="none"/>
        </w:rPr>
      </w:pPr>
      <w:bookmarkStart w:id="24" w:name="_Toc10860"/>
      <w:r>
        <w:rPr>
          <w:rFonts w:hint="eastAsia" w:ascii="仿宋" w:hAnsi="仿宋" w:eastAsia="仿宋"/>
          <w:bCs w:val="0"/>
          <w:sz w:val="30"/>
          <w:szCs w:val="30"/>
          <w:highlight w:val="none"/>
        </w:rPr>
        <w:t>广州珂诚信息技术有限公司</w:t>
      </w:r>
      <w:bookmarkEnd w:id="24"/>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广州珂诚信息技术有限公司对快消行业的设备和生产工艺有较深的理解，致力于快消行业企业实施可落地的高品质信息系统和控制系统，帮助客户提高生产力及可持续发展。珂诚专注于技术创新，贴近客户，以一流的技术团队，工程服务团队以及产品开发团队，加上高效的公司管理体系在市场上受到良好信赖。现公司已经发展成以自动化工程服务，信息化解决方案以及控制系统集成三大业务为核心业务，业务覆盖各个行业。</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珂诚致力于工业信息化软件产品的研发，通过持续研发投入，珂诚拥有一系列自主知识产权软件产品及平台，包括工业软件产品，采用云平台+模块化部署，具有国际领先技术水平。</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目前珂诚已经拥有40余项软件著作权和软件产品，相关软件产品已经成功应用到大量领先企业客户的智能制造项目中，满足不同行业的多样化、定制化以及高品质的需求。珂诚的主要客户均为行业龙头企业，并为客户提供全厂数字化建设项目、工业大数据平台、工业应用系统等信息化服务，满足生产调度、智能物流、设备运维、设计协同、端到端物料追踪等个性化需求，并取得客户一致好评，成为客户高持续性供应商。</w:t>
      </w:r>
    </w:p>
    <w:p>
      <w:pPr>
        <w:pStyle w:val="3"/>
        <w:numPr>
          <w:ilvl w:val="0"/>
          <w:numId w:val="2"/>
        </w:numPr>
        <w:rPr>
          <w:rFonts w:ascii="仿宋" w:hAnsi="仿宋" w:eastAsia="仿宋"/>
          <w:bCs w:val="0"/>
          <w:sz w:val="30"/>
          <w:szCs w:val="30"/>
          <w:highlight w:val="none"/>
        </w:rPr>
      </w:pPr>
      <w:bookmarkStart w:id="25" w:name="_Toc14688"/>
      <w:r>
        <w:rPr>
          <w:rFonts w:hint="eastAsia" w:ascii="仿宋" w:hAnsi="仿宋" w:eastAsia="仿宋"/>
          <w:bCs w:val="0"/>
          <w:sz w:val="30"/>
          <w:szCs w:val="30"/>
          <w:highlight w:val="none"/>
        </w:rPr>
        <w:t>深圳市中物互联技术发展有限公司</w:t>
      </w:r>
      <w:bookmarkEnd w:id="25"/>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深圳市中物互联技术发展有限公司坐落于深圳市福田区天安数码城，是国内首家提供园企生态工业互联网全套解决方案的高科技企业。公司创始团队拥有超过20年智慧园区管理经验，建立了具备业内一定竞争优势的“千仞云”系统，目前已从智慧园企系统，升级打造为全国领先的园企生态工业互联网系统。公司拥有卓越的智慧园区解决方案、算法模型开发等研发设计、方案落地、平台运维等综合能力。</w:t>
      </w:r>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已经拥有完备的6大技术体系【智感、智联、智控、智服、智维、智脑】，拥有4大核心技术【AI智子网关、物联网中台、大数据中台、算法模型】；4大应用领域【数字设施、数字应急、数字工厂、数字园区】;为“千仞云”园企生态工业互联网平台系统，在边缘能力、工业大数据、工业数据管理、工业模型、工业应用开发及人机交互、工业APP等方面的能力体现以及在平台架构设计、应用开发、模式创新、产品服务等方面，奠定了坚实的基础。助力平台的应用推广，加速工业互联网生态体系的构建。</w:t>
      </w:r>
    </w:p>
    <w:p>
      <w:pPr>
        <w:pStyle w:val="3"/>
        <w:numPr>
          <w:ilvl w:val="0"/>
          <w:numId w:val="2"/>
        </w:numPr>
        <w:rPr>
          <w:rFonts w:ascii="仿宋" w:hAnsi="仿宋" w:eastAsia="仿宋"/>
          <w:bCs w:val="0"/>
          <w:sz w:val="30"/>
          <w:szCs w:val="30"/>
          <w:highlight w:val="none"/>
        </w:rPr>
      </w:pPr>
      <w:bookmarkStart w:id="26" w:name="_Toc23999"/>
      <w:r>
        <w:rPr>
          <w:rFonts w:hint="eastAsia" w:ascii="仿宋" w:hAnsi="仿宋" w:eastAsia="仿宋"/>
          <w:bCs w:val="0"/>
          <w:sz w:val="30"/>
          <w:szCs w:val="30"/>
          <w:highlight w:val="none"/>
        </w:rPr>
        <w:t>广西九维时空数字产业发展有限公司</w:t>
      </w:r>
      <w:bookmarkEnd w:id="26"/>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是中国-东盟空间信息技术创新示范基地和中国-东盟北斗/GNSS（南宁）中心的运营方，致力于广西卫星应用产业发展支撑体系建设，重点打造高精度北斗综合位置服务、东盟时空中心、智能终端研发、产品检测服务、数字贸易平台、软件开发及服务外包、时空主题科普研学、产教融合等项目；同时，搭建卫星应用及北斗时空信息全产业链，增强面向东盟的产业输出和服务能力，推动国内国际北斗产业市场相互促进的新发展格局。</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致力于将北斗时空技术体系与传统产业的融合，推动传统产业向数字化转型，现已与农业、交通、传统贸易、分布式能源、应急、环保、教育等重点领域进行合作，促进数字经济的发展。鉴于北斗时空拥有海量的应用场景，非常适合与标识解析体系进行融合。</w:t>
      </w:r>
    </w:p>
    <w:p>
      <w:pPr>
        <w:pStyle w:val="3"/>
        <w:numPr>
          <w:ilvl w:val="0"/>
          <w:numId w:val="2"/>
        </w:numPr>
        <w:rPr>
          <w:rFonts w:ascii="仿宋" w:hAnsi="仿宋" w:eastAsia="仿宋"/>
          <w:bCs w:val="0"/>
          <w:sz w:val="30"/>
          <w:szCs w:val="30"/>
          <w:highlight w:val="none"/>
        </w:rPr>
      </w:pPr>
      <w:bookmarkStart w:id="27" w:name="_Toc5149"/>
      <w:r>
        <w:rPr>
          <w:rFonts w:hint="eastAsia" w:ascii="仿宋" w:hAnsi="仿宋" w:eastAsia="仿宋"/>
          <w:bCs w:val="0"/>
          <w:sz w:val="30"/>
          <w:szCs w:val="30"/>
          <w:highlight w:val="none"/>
        </w:rPr>
        <w:t>码客工场工业科技（北京）有限公司</w:t>
      </w:r>
      <w:bookmarkEnd w:id="27"/>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码客工场工业科技（北京）有限公司是一家致力于应用创新、集成创新，为企业构建工业智能化平台，构架新型服务能力，加快企业数字化转型的新一代信息技术企业。公司结合清华大学学科资源优势及科技成果转化优势，深度融合云计算、大数据、物联网、人工智能等先进技术，为企业提供以自动化、网络化、平台化、智能化为基础的综合解决方案，聚焦于引领传统制造走向智能制造，构建“工业互联网+先进制造业”新生态。</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lang w:val="en-US" w:eastAsia="zh-CN"/>
        </w:rPr>
        <w:t>公司</w:t>
      </w:r>
      <w:r>
        <w:rPr>
          <w:rFonts w:hint="eastAsia" w:ascii="仿宋" w:hAnsi="仿宋" w:eastAsia="仿宋" w:cs="宋体"/>
          <w:bCs/>
          <w:kern w:val="0"/>
          <w:sz w:val="30"/>
          <w:szCs w:val="30"/>
          <w:highlight w:val="none"/>
        </w:rPr>
        <w:t>已建成工业互联网标识服务管理平台、标识规模数据可视化监控系统和应用于铁路运输行业的工业互联网平台。面向大型企业集团提供一体化的数字工厂解决方案，并通过商业智能辅助运营决策；面向中小企业提供服务于企业实际生产、管理环节的典型应用，以网络化的方式在重要环节提升企业的生产管理水平。公司核心团队成员参与过工信部2019年与2020年工业互联网创新发展工程专项；作为专家组成员牵头、参与起草了国家标准、行业标准及白皮书六项；研发了常青藤工业互联网平台，是山西省唯一经工信部认证的可信工业互联网平台。培训讲师团队由“千人计划”培训讲师团队由“千人计划”专家、清华大学教授与中科院博士构成。</w:t>
      </w:r>
    </w:p>
    <w:p>
      <w:pPr>
        <w:pStyle w:val="3"/>
        <w:numPr>
          <w:ilvl w:val="0"/>
          <w:numId w:val="2"/>
        </w:numPr>
        <w:rPr>
          <w:rFonts w:hint="eastAsia" w:ascii="仿宋" w:hAnsi="仿宋" w:eastAsia="仿宋"/>
          <w:bCs w:val="0"/>
          <w:sz w:val="30"/>
          <w:szCs w:val="30"/>
          <w:highlight w:val="none"/>
        </w:rPr>
      </w:pPr>
      <w:bookmarkStart w:id="28" w:name="_Toc258"/>
      <w:r>
        <w:rPr>
          <w:rFonts w:hint="eastAsia" w:ascii="仿宋" w:hAnsi="仿宋" w:eastAsia="仿宋"/>
          <w:bCs w:val="0"/>
          <w:sz w:val="30"/>
          <w:szCs w:val="30"/>
          <w:highlight w:val="none"/>
        </w:rPr>
        <w:t>广州市锐赛科技有限公司</w:t>
      </w:r>
      <w:bookmarkEnd w:id="28"/>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锐赛科技致力于成为卓越的企业综合能源精益管理产品服务商，深耕电气领域，将领先的电气应用技术与云计算、大数据、工业互联网等新一代信息技术融合创新，为用户提供工业互联网服务和云应用部署服务，我们期望通过成熟的实践经验、创新性的产品，帮助制造业企业客户跳出空间限制彻底改造价值链，重塑制造企业核心竞争力，成为数字变革的业务受益者。</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锐赛科技工业互联网服务，是从底端设备帮助制造业企业实现数字化转型，通过自主研发有发明专利的电气智能装备，采集生产设备的用电及运行状况数据，在边缘、云端进行数据的计算和分析，构建互联互通、边云协同的生产设备物联网，辅以人机交互界面，实现了数字化网络化制造与HCPS系统。</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同时，在顶层形成设备绩效、能效、运维等的应用分析，为制造业企业提供企业能源管理、企业节能管理、生产设备能效管理等服务，助力制造业企业的精益运营、精益生产、精益运维。</w:t>
      </w:r>
    </w:p>
    <w:p>
      <w:pPr>
        <w:pStyle w:val="3"/>
        <w:numPr>
          <w:ilvl w:val="0"/>
          <w:numId w:val="2"/>
        </w:numPr>
        <w:rPr>
          <w:rFonts w:hint="eastAsia" w:ascii="仿宋" w:hAnsi="仿宋" w:eastAsia="仿宋"/>
          <w:bCs w:val="0"/>
          <w:sz w:val="30"/>
          <w:szCs w:val="30"/>
          <w:highlight w:val="none"/>
        </w:rPr>
      </w:pPr>
      <w:bookmarkStart w:id="29" w:name="_Toc23309"/>
      <w:r>
        <w:rPr>
          <w:rFonts w:hint="eastAsia" w:ascii="仿宋" w:hAnsi="仿宋" w:eastAsia="仿宋"/>
          <w:bCs w:val="0"/>
          <w:sz w:val="30"/>
          <w:szCs w:val="30"/>
          <w:highlight w:val="none"/>
        </w:rPr>
        <w:t>大连云数据科技有限公司</w:t>
      </w:r>
      <w:bookmarkEnd w:id="29"/>
    </w:p>
    <w:p>
      <w:pPr>
        <w:ind w:firstLine="600" w:firstLineChars="200"/>
        <w:rPr>
          <w:rFonts w:hint="eastAsia"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rPr>
        <w:t>大连云数据科技有限公司成立于2020年8月，是大连市金普新区国资委控股，天港科技集团参股的混合所有制高科技企业。公司坚持政府领导、国有控股、责权清晰、市场经营的原则，结合大连大数据产业发展的基底和趋势，围绕政府公共数据整合（政务云）和产业信息聚集（工业互联网）的目标，建设开发云计算大数据平台、数据中台、应用中台和智慧应用等，主要包括IDC+云服务、IDC+5G、IDC+工业互联网、IDC+AI</w:t>
      </w:r>
      <w:r>
        <w:rPr>
          <w:rFonts w:hint="eastAsia" w:ascii="仿宋" w:hAnsi="仿宋" w:eastAsia="仿宋" w:cs="宋体"/>
          <w:bCs/>
          <w:kern w:val="0"/>
          <w:sz w:val="30"/>
          <w:szCs w:val="30"/>
          <w:highlight w:val="none"/>
          <w:lang w:val="en-US" w:eastAsia="zh-CN"/>
        </w:rPr>
        <w:t>等。</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主营业务为政务云、区域私有云、工业互联网，在平台搭建上，大连云数据科技有限公司结合政务云、区域私有云的客户存量以及大量的数据信息，搭建工业互联网平台；在平台客户导入上，凭借政府资源、股东资源拓展本地优秀客户群体；在平台维护上，大连云数据科技有限公司配备专业的运维团队，对于工业互联网平台的日常运营、维护奠定良好的基础。</w:t>
      </w:r>
    </w:p>
    <w:p>
      <w:pPr>
        <w:pStyle w:val="3"/>
        <w:numPr>
          <w:ilvl w:val="0"/>
          <w:numId w:val="2"/>
        </w:numPr>
        <w:rPr>
          <w:rFonts w:hint="eastAsia" w:ascii="仿宋" w:hAnsi="仿宋" w:eastAsia="仿宋"/>
          <w:bCs w:val="0"/>
          <w:sz w:val="30"/>
          <w:szCs w:val="30"/>
          <w:highlight w:val="none"/>
        </w:rPr>
      </w:pPr>
      <w:bookmarkStart w:id="30" w:name="_Toc14506"/>
      <w:r>
        <w:rPr>
          <w:rFonts w:hint="eastAsia" w:ascii="仿宋" w:hAnsi="仿宋" w:eastAsia="仿宋"/>
          <w:bCs w:val="0"/>
          <w:sz w:val="30"/>
          <w:szCs w:val="30"/>
          <w:highlight w:val="none"/>
        </w:rPr>
        <w:t>广东中设智控科技股份有限公司</w:t>
      </w:r>
      <w:bookmarkEnd w:id="30"/>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中设智控成立于1999年，2014年改制成为股份公司，2019年改制成国有控股混合所有制企业，隶属于广州国家级经济开发区骨干大型国企——科学城（广州）投资集团有限公司。中设智控是一家以工业互联网应用及服务、智慧城市建设为核心业务的科技型企业，致力于工业生态服务的技术创新与发展，推动智慧城市的发展，创造美好未来。</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中设智控20多年来融合中设智控ACCM理论、生产与设备管理技术、物联网、工业互联网、区块链、工业大数据、智能数据采集等先进的技术手段，为4200余家大中型企业提供工业互联网信息化产品和智慧城市解决方案等服务，客户涵盖机场、港口、烟草、石油化工、冶金、通用制造、市政等行业。</w:t>
      </w:r>
    </w:p>
    <w:p>
      <w:pPr>
        <w:pStyle w:val="3"/>
        <w:numPr>
          <w:ilvl w:val="0"/>
          <w:numId w:val="2"/>
        </w:numPr>
        <w:rPr>
          <w:rFonts w:hint="eastAsia" w:ascii="仿宋" w:hAnsi="仿宋" w:eastAsia="仿宋"/>
          <w:bCs w:val="0"/>
          <w:sz w:val="30"/>
          <w:szCs w:val="30"/>
          <w:highlight w:val="none"/>
        </w:rPr>
      </w:pPr>
      <w:bookmarkStart w:id="31" w:name="_Toc12995"/>
      <w:r>
        <w:rPr>
          <w:rFonts w:hint="eastAsia" w:ascii="仿宋" w:hAnsi="仿宋" w:eastAsia="仿宋"/>
          <w:bCs w:val="0"/>
          <w:sz w:val="30"/>
          <w:szCs w:val="30"/>
          <w:highlight w:val="none"/>
        </w:rPr>
        <w:t>北京国基科技股份有限公司</w:t>
      </w:r>
      <w:bookmarkEnd w:id="31"/>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公司成立于2004年，是国防电子和产业物联网关键技术研发和解决方案提供商，国家高新技术企业、新三板创新层（证券代码：430076）、国家专精特新小巨人企业。公司专注于智能物联网、嵌入式计算机、宽带无线、机器视觉等新一代信息技术的研发和行业集成应用，为智慧港口、油田数字化、智慧林业、智能系统应用、电信运营商、水利电力等国家重点行业提供先进可靠的产品、技术和服务。</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自研GiMAC物联网全栈应用开发平台，在此平台上开发的各类行业应用软件及相关解决方案，重点解决行业用户专业化、高复杂、小场景的生产和安全需求。对于港口行业的工业互联应用是我们的公司发展重点，已研发出了贴合港口/码头用户使用场景的系统产品和解决方案，是目前该行业能够提供门类最全解决方案的公司。</w:t>
      </w:r>
    </w:p>
    <w:p>
      <w:pPr>
        <w:pStyle w:val="3"/>
        <w:numPr>
          <w:ilvl w:val="0"/>
          <w:numId w:val="2"/>
        </w:numPr>
        <w:rPr>
          <w:rFonts w:ascii="仿宋" w:hAnsi="仿宋" w:eastAsia="仿宋"/>
          <w:bCs w:val="0"/>
          <w:sz w:val="30"/>
          <w:szCs w:val="30"/>
          <w:highlight w:val="none"/>
        </w:rPr>
      </w:pPr>
      <w:bookmarkStart w:id="32" w:name="_Toc18712"/>
      <w:r>
        <w:rPr>
          <w:rFonts w:hint="eastAsia" w:ascii="仿宋" w:hAnsi="仿宋" w:eastAsia="仿宋"/>
          <w:bCs w:val="0"/>
          <w:sz w:val="30"/>
          <w:szCs w:val="30"/>
          <w:highlight w:val="none"/>
        </w:rPr>
        <w:t>深圳市杉岩数据技术有限公司</w:t>
      </w:r>
      <w:bookmarkEnd w:id="32"/>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杉岩数据是一家面向5G+AIoT时代，提供大数据智能存储产品和解决方案的国家级高新技术企业。自2014年成立起，公司以新一代智能分布式存储技术为核心，致力于打造云计算、大数据、人工智能、物联网、区块链、金融科技等领域的数据存储基石。</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作为新一代大数据智能存储产品和方案的领导企业，杉岩数据持续聚焦于软件定义存储（SDS）技术的创新研发，自主研发的海量对象存储技术处于国内先进水平。作为新一代大数据智能存储产品和方案的领导企业，杉岩数据已累计60多项发明专利及软件著作权，是国家信标委云计算标准工作组成员。位居中国对象存储市场第一，已服务800余家标杆客户，存储总容量达4500PB以上。</w:t>
      </w:r>
    </w:p>
    <w:p>
      <w:pPr>
        <w:pStyle w:val="3"/>
        <w:numPr>
          <w:ilvl w:val="0"/>
          <w:numId w:val="2"/>
        </w:numPr>
        <w:rPr>
          <w:rFonts w:hint="eastAsia" w:ascii="仿宋" w:hAnsi="仿宋" w:eastAsia="仿宋"/>
          <w:bCs w:val="0"/>
          <w:sz w:val="30"/>
          <w:szCs w:val="30"/>
          <w:highlight w:val="none"/>
        </w:rPr>
      </w:pPr>
      <w:bookmarkStart w:id="33" w:name="_Toc32750"/>
      <w:r>
        <w:rPr>
          <w:rFonts w:hint="eastAsia" w:ascii="仿宋" w:hAnsi="仿宋" w:eastAsia="仿宋"/>
          <w:bCs w:val="0"/>
          <w:sz w:val="30"/>
          <w:szCs w:val="30"/>
          <w:highlight w:val="none"/>
        </w:rPr>
        <w:t>重庆云江工业互联网有限公司</w:t>
      </w:r>
      <w:bookmarkEnd w:id="33"/>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重庆云江工业互联网有限公司成立于2020年06月22日，由两江新区企业重庆云计算投资运营有限公司与浪潮云联合成立的一家工业互联网企业，旨在推动两江新区传统工业企业转型升级，赋能两江新区数字经济发展。</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经营范围包括一般项目：技术服务、技术开发、技术咨询、技术交流、技术转让、技术推广，计算机软硬件及外围设备制造，计算机软硬件及辅助设备零售，云计算设备制造，云计算设备销售，人工智能公共数据平台，大数据服务</w:t>
      </w:r>
      <w:r>
        <w:rPr>
          <w:rFonts w:hint="eastAsia" w:ascii="仿宋" w:hAnsi="仿宋" w:eastAsia="仿宋" w:cs="宋体"/>
          <w:bCs/>
          <w:kern w:val="0"/>
          <w:sz w:val="30"/>
          <w:szCs w:val="30"/>
          <w:highlight w:val="none"/>
          <w:lang w:eastAsia="zh-CN"/>
        </w:rPr>
        <w:t>。</w:t>
      </w:r>
    </w:p>
    <w:p>
      <w:pPr>
        <w:pStyle w:val="3"/>
        <w:numPr>
          <w:ilvl w:val="0"/>
          <w:numId w:val="2"/>
        </w:numPr>
        <w:rPr>
          <w:rFonts w:hint="eastAsia" w:ascii="仿宋" w:hAnsi="仿宋" w:eastAsia="仿宋"/>
          <w:bCs w:val="0"/>
          <w:sz w:val="30"/>
          <w:szCs w:val="30"/>
          <w:highlight w:val="none"/>
          <w:lang w:eastAsia="zh-CN"/>
        </w:rPr>
      </w:pPr>
      <w:bookmarkStart w:id="34" w:name="_Toc5851"/>
      <w:r>
        <w:rPr>
          <w:rFonts w:hint="eastAsia" w:ascii="仿宋" w:hAnsi="仿宋" w:eastAsia="仿宋"/>
          <w:bCs w:val="0"/>
          <w:sz w:val="30"/>
          <w:szCs w:val="30"/>
          <w:highlight w:val="none"/>
          <w:lang w:eastAsia="zh-CN"/>
        </w:rPr>
        <w:t>中仓登数据服务有限公司</w:t>
      </w:r>
      <w:bookmarkEnd w:id="34"/>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在当前资产数字化大趋势与青岛发展航运贸易金融创新的背景下，由中国仓储与配送协会、中国中小企业协会、中国物资储运协会与地方政府共同支持此标准的实施并发起设立全国性可流转仓单信息登记服务平台，在整个“全国性可流转仓单体系”的建设中承担规制研究、试点模式推广、体系运转的运营职责。为整个存货（仓单）运营行业输送规范指导、模式创新、技术控货标准等，促进市场形成共识，推动存货仓单化、仓单电子化、存货资产数字化。</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公司设计相关存货资产的物联网标识编码体系和数字化仓储的物联网设备标识编码体系，为行业提供赋码服务、电子仓单登记服务、电子仓单查询服务、电子仓单解析服务、供应链存货流转信息解析服务等。负责建设运营供应链管理服务工业互联网二级解析节点。</w:t>
      </w:r>
    </w:p>
    <w:p>
      <w:pPr>
        <w:pStyle w:val="3"/>
        <w:numPr>
          <w:ilvl w:val="0"/>
          <w:numId w:val="2"/>
        </w:numPr>
        <w:rPr>
          <w:rFonts w:hint="eastAsia" w:ascii="仿宋" w:hAnsi="仿宋" w:eastAsia="仿宋"/>
          <w:bCs w:val="0"/>
          <w:sz w:val="30"/>
          <w:szCs w:val="30"/>
          <w:highlight w:val="none"/>
          <w:lang w:eastAsia="zh-CN"/>
        </w:rPr>
      </w:pPr>
      <w:bookmarkStart w:id="35" w:name="_Toc25845"/>
      <w:r>
        <w:rPr>
          <w:rFonts w:hint="eastAsia" w:ascii="仿宋" w:hAnsi="仿宋" w:eastAsia="仿宋"/>
          <w:bCs w:val="0"/>
          <w:sz w:val="30"/>
          <w:szCs w:val="30"/>
          <w:highlight w:val="none"/>
          <w:lang w:eastAsia="zh-CN"/>
        </w:rPr>
        <w:t>北京艾智互联科技有限公司</w:t>
      </w:r>
      <w:bookmarkEnd w:id="35"/>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北京艾智互联科技有限公司以中国科学院自动化研究所为技术依托，综合运用物联网，边缘计算，云计算及人工智能等先进技术，从事智能制造、工业互联网等领域的云平台、智能网关、智能化软硬件系统的研发等技术服务，致力于为全球企业用户提供一站式智能化工厂解决方案，助力中国工业智能化发展。公司目前主要聚焦云边协同的机器人控制方案和高端装备故障诊断与预测等领域的系统研发与产业化。</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公司已经在高端装备故障诊断、边缘AI、调度优化、云边协同等领域有相关成果积累，公司致力于推动工厂智能化发展，所以关注点在工厂智能化领域。其基于云边协同的高端装备故障诊断系统和基于云边协同的机器人分拣系统，系统主要依托云计算、边缘智能、机器人、故障诊断等技术，以Altas500 pro等智能硬件为边缘服务器，构建云边协同的机器人控制及故障诊断系统，系统方案已经在广东汇兴精工智造股份有限公司、广东车海洋环保科技有限公司、东莞华贝电子科技有限公司等应用，其应用系统降本增效的效果已经获得客户认可。</w:t>
      </w:r>
    </w:p>
    <w:p>
      <w:pPr>
        <w:pStyle w:val="3"/>
        <w:numPr>
          <w:ilvl w:val="0"/>
          <w:numId w:val="2"/>
        </w:numPr>
        <w:rPr>
          <w:rFonts w:hint="eastAsia" w:ascii="仿宋" w:hAnsi="仿宋" w:eastAsia="仿宋"/>
          <w:bCs w:val="0"/>
          <w:sz w:val="30"/>
          <w:szCs w:val="30"/>
          <w:highlight w:val="none"/>
          <w:lang w:eastAsia="zh-CN"/>
        </w:rPr>
      </w:pPr>
      <w:bookmarkStart w:id="36" w:name="_Toc12916"/>
      <w:r>
        <w:rPr>
          <w:rFonts w:hint="eastAsia" w:ascii="仿宋" w:hAnsi="仿宋" w:eastAsia="仿宋"/>
          <w:bCs w:val="0"/>
          <w:sz w:val="30"/>
          <w:szCs w:val="30"/>
          <w:highlight w:val="none"/>
          <w:lang w:eastAsia="zh-CN"/>
        </w:rPr>
        <w:t>山西省数字证书认证中心（有限公司）</w:t>
      </w:r>
      <w:bookmarkEnd w:id="36"/>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山西省数字证书认证中心（有限公司），简称“山西CA”，成立于2001年，注册资本3000万元，坐落于山西综改示范区，是由工信部和国家密码管理局授权、监管的全国首批电子认证服务机构，是吉大正元旗下的第三方运营CA品牌。二十年以来，山西CA始终致力于山西省的商密应用推广与宣传，为我省政府、公安、财政、住建、国土、能源、人社、医保、公积金、公共资源等行业提供以密码技术为核心的安全解决方案和优质服务。</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lang w:eastAsia="zh-CN"/>
        </w:rPr>
        <w:t>公司是权威的、合法可信的第三方数字证书电子认证服务机构。与密码行业发展共生共长，成立至今已二十余载，行业资深，为可信身份认证市场做出了很大贡献。业务范围涉众多行业，在山西省内各地市及全国主要城市均设有线下服务网点，并设有专业的全国400呼叫中心。拥有强大的自主研发团队，具备新产品创新与开发的强大实力；背靠吉大正元，拥有行业内领先技术。</w:t>
      </w:r>
    </w:p>
    <w:p>
      <w:pPr>
        <w:pStyle w:val="3"/>
        <w:numPr>
          <w:ilvl w:val="0"/>
          <w:numId w:val="2"/>
        </w:numPr>
        <w:rPr>
          <w:rFonts w:hint="eastAsia" w:ascii="仿宋" w:hAnsi="仿宋" w:eastAsia="仿宋"/>
          <w:bCs w:val="0"/>
          <w:sz w:val="30"/>
          <w:szCs w:val="30"/>
          <w:highlight w:val="none"/>
        </w:rPr>
      </w:pPr>
      <w:bookmarkStart w:id="37" w:name="_Toc4420"/>
      <w:r>
        <w:rPr>
          <w:rFonts w:hint="eastAsia" w:ascii="仿宋" w:hAnsi="仿宋" w:eastAsia="仿宋"/>
          <w:bCs w:val="0"/>
          <w:sz w:val="30"/>
          <w:szCs w:val="30"/>
          <w:highlight w:val="none"/>
        </w:rPr>
        <w:t>广州优壹互联科技有限公司</w:t>
      </w:r>
      <w:bookmarkEnd w:id="37"/>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广州优壹互联科技有限公司专注于信息通信行业与ICT、智慧城市领域的资讯服务，作为独立的行业媒体平台，宣传国家政策、引导行业发展、助力企业经营、提升业者技能，作为行业发声者，我们推动产业对话，推广优质产品及服务，服务行业各界，促进行业、社会健康快速发展。</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开办工业互联网自媒体，运营“工业互联说”公众号的近两年内，已发布1000+篇文章。内容从政策、行业趋势、落地案例等多个角度进行深度解读，作为资讯的先锋军，我们已让更多的人了解工业互联网，共同推动工业互联网向前发展</w:t>
      </w:r>
    </w:p>
    <w:p>
      <w:pPr>
        <w:pStyle w:val="3"/>
        <w:numPr>
          <w:ilvl w:val="0"/>
          <w:numId w:val="2"/>
        </w:numPr>
        <w:rPr>
          <w:rFonts w:ascii="仿宋" w:hAnsi="仿宋" w:eastAsia="仿宋"/>
          <w:bCs w:val="0"/>
          <w:sz w:val="30"/>
          <w:szCs w:val="30"/>
          <w:highlight w:val="none"/>
        </w:rPr>
      </w:pPr>
      <w:bookmarkStart w:id="38" w:name="_Toc4830"/>
      <w:r>
        <w:rPr>
          <w:rFonts w:hint="eastAsia" w:ascii="仿宋" w:hAnsi="仿宋" w:eastAsia="仿宋"/>
          <w:bCs w:val="0"/>
          <w:sz w:val="30"/>
          <w:szCs w:val="30"/>
          <w:highlight w:val="none"/>
        </w:rPr>
        <w:t>武汉亿思源光电股份有限公司</w:t>
      </w:r>
      <w:bookmarkEnd w:id="38"/>
    </w:p>
    <w:p>
      <w:pPr>
        <w:ind w:firstLine="600" w:firstLineChars="200"/>
        <w:rPr>
          <w:rFonts w:hint="eastAsia" w:ascii="仿宋" w:hAnsi="仿宋" w:eastAsia="仿宋" w:cs="宋体"/>
          <w:bCs/>
          <w:kern w:val="0"/>
          <w:sz w:val="30"/>
          <w:szCs w:val="30"/>
          <w:highlight w:val="none"/>
          <w:lang w:val="en-US" w:eastAsia="zh-CN"/>
        </w:rPr>
      </w:pPr>
      <w:r>
        <w:rPr>
          <w:rFonts w:hint="eastAsia" w:ascii="仿宋" w:hAnsi="仿宋" w:eastAsia="仿宋" w:cs="宋体"/>
          <w:bCs/>
          <w:kern w:val="0"/>
          <w:sz w:val="30"/>
          <w:szCs w:val="30"/>
          <w:highlight w:val="none"/>
        </w:rPr>
        <w:t>武汉亿思源光电股份有限公司2008年成立。是一家集研发、生产、销售于一体的专业光电技术传输解决方案提供商。掌控着光电器件、光组件、模块的设计、生产制造、研发等核心技术及经验。作为武汉光谷模块生产与销售企业，一直专注于光电技术的研发与生产。2014年为更加突出公司专业性的生产和研发，经董事会研究决定，由“武汉亿思源光电技术有限公司”改制成立为“武汉亿思源光电股份有限公司”，成立之初就建立了光通信器件</w:t>
      </w:r>
      <w:r>
        <w:rPr>
          <w:rFonts w:hint="eastAsia" w:ascii="仿宋" w:hAnsi="仿宋" w:eastAsia="仿宋" w:cs="宋体"/>
          <w:bCs/>
          <w:kern w:val="0"/>
          <w:sz w:val="30"/>
          <w:szCs w:val="30"/>
          <w:highlight w:val="none"/>
          <w:lang w:eastAsia="zh-CN"/>
        </w:rPr>
        <w:t>。</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我们引进国际领先的管理理念和尖端的技术，拥有行业领先水平的技术团队。公司立志于建立国际一流的光电产品生产基地，光模块年产能超过300万只。公司研究开发的光通讯系列产品主要包括SFP/SFP+/SFP28/QSFP/QSFP28高端光收发模块以及有源光缆，GPON/EPON、ONU/OLT 突发模式光收发模块，CWDM/DWDM 传输产品等全系列产品，传输速率100Mbps~100Gbps，为电信通信、数据通信、视频监控系统、有线电视传输设备厂商提供各种速率、各种距离和不同波长的商用级、工业级等光收发一体模块。公司秉承“创新产品，服务社会”的核心理念，积极向上下游产业拓展。我们始终坚持以科技创新</w:t>
      </w:r>
      <w:r>
        <w:rPr>
          <w:rFonts w:hint="eastAsia" w:ascii="仿宋" w:hAnsi="仿宋" w:eastAsia="仿宋" w:cs="宋体"/>
          <w:bCs/>
          <w:kern w:val="0"/>
          <w:sz w:val="30"/>
          <w:szCs w:val="30"/>
          <w:highlight w:val="none"/>
          <w:lang w:eastAsia="zh-CN"/>
        </w:rPr>
        <w:t>。</w:t>
      </w:r>
    </w:p>
    <w:p>
      <w:pPr>
        <w:pStyle w:val="3"/>
        <w:numPr>
          <w:ilvl w:val="0"/>
          <w:numId w:val="2"/>
        </w:numPr>
        <w:rPr>
          <w:rFonts w:hint="eastAsia" w:ascii="仿宋" w:hAnsi="仿宋" w:eastAsia="仿宋"/>
          <w:bCs w:val="0"/>
          <w:sz w:val="30"/>
          <w:szCs w:val="30"/>
          <w:highlight w:val="none"/>
        </w:rPr>
      </w:pPr>
      <w:bookmarkStart w:id="39" w:name="_Toc6175"/>
      <w:r>
        <w:rPr>
          <w:rFonts w:hint="eastAsia" w:ascii="仿宋" w:hAnsi="仿宋" w:eastAsia="仿宋"/>
          <w:bCs w:val="0"/>
          <w:sz w:val="30"/>
          <w:szCs w:val="30"/>
          <w:highlight w:val="none"/>
        </w:rPr>
        <w:t>联通雄安产业互联网有限公司</w:t>
      </w:r>
      <w:bookmarkEnd w:id="39"/>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联通雄安产业互联网有限公司成立于2018年4月，由中国联通全资子公司联通数字科技有限公司全权注资、雄安产互属地化管理。公司以“聚焦、创新、合作“战略为引领，高点定位，面向政府企业客户提供云计算、大数据、物联网、IT等创新产品及服务，具备自主研发、解决方案制定、集成交付及运营服务等专业能力。</w:t>
      </w:r>
    </w:p>
    <w:p>
      <w:pPr>
        <w:ind w:firstLine="600" w:firstLineChars="200"/>
        <w:rPr>
          <w:rFonts w:hint="eastAsia" w:ascii="仿宋" w:hAnsi="仿宋" w:eastAsia="仿宋" w:cs="宋体"/>
          <w:bCs/>
          <w:kern w:val="0"/>
          <w:sz w:val="30"/>
          <w:szCs w:val="30"/>
          <w:highlight w:val="none"/>
          <w:lang w:eastAsia="zh-CN"/>
        </w:rPr>
      </w:pPr>
      <w:r>
        <w:rPr>
          <w:rFonts w:hint="eastAsia" w:ascii="仿宋" w:hAnsi="仿宋" w:eastAsia="仿宋" w:cs="宋体"/>
          <w:bCs/>
          <w:kern w:val="0"/>
          <w:sz w:val="30"/>
          <w:szCs w:val="30"/>
          <w:highlight w:val="none"/>
        </w:rPr>
        <w:t>2018年10月，河北联通建成全国首批工业互联网标识解析综合二级节点，联通雄安产业互联网有限公司负责节点运营及维护工作；基于标识二级节点基础资源，自主研发PAAS能力开放平台，面向龙头企业提供接口管理、应用管理、安全管理等中间件能力；自研六款应用产品，产品追溯、防伪防窜、售后服务、供应链管理、数字化营销、生产过程管理；为企业核心业务环节提供全生命周期信息追溯</w:t>
      </w:r>
      <w:r>
        <w:rPr>
          <w:rFonts w:hint="eastAsia" w:ascii="仿宋" w:hAnsi="仿宋" w:eastAsia="仿宋" w:cs="宋体"/>
          <w:bCs/>
          <w:kern w:val="0"/>
          <w:sz w:val="30"/>
          <w:szCs w:val="30"/>
          <w:highlight w:val="none"/>
          <w:lang w:eastAsia="zh-CN"/>
        </w:rPr>
        <w:t>。</w:t>
      </w:r>
    </w:p>
    <w:p>
      <w:pPr>
        <w:pStyle w:val="3"/>
        <w:numPr>
          <w:ilvl w:val="0"/>
          <w:numId w:val="2"/>
        </w:numPr>
        <w:rPr>
          <w:rFonts w:ascii="仿宋" w:hAnsi="仿宋" w:eastAsia="仿宋"/>
          <w:bCs w:val="0"/>
          <w:sz w:val="30"/>
          <w:szCs w:val="30"/>
          <w:highlight w:val="none"/>
        </w:rPr>
      </w:pPr>
      <w:bookmarkStart w:id="40" w:name="_Toc32161"/>
      <w:r>
        <w:rPr>
          <w:rFonts w:hint="eastAsia" w:ascii="仿宋" w:hAnsi="仿宋" w:eastAsia="仿宋"/>
          <w:bCs w:val="0"/>
          <w:sz w:val="30"/>
          <w:szCs w:val="30"/>
          <w:highlight w:val="none"/>
        </w:rPr>
        <w:t>高质标准化研究院（山东）有限公司</w:t>
      </w:r>
      <w:bookmarkEnd w:id="40"/>
    </w:p>
    <w:p>
      <w:pPr>
        <w:ind w:firstLine="600" w:firstLineChars="200"/>
        <w:rPr>
          <w:rFonts w:ascii="仿宋" w:hAnsi="仿宋" w:eastAsia="仿宋" w:cs="宋体"/>
          <w:bCs/>
          <w:kern w:val="0"/>
          <w:sz w:val="30"/>
          <w:szCs w:val="30"/>
          <w:highlight w:val="none"/>
        </w:rPr>
      </w:pPr>
      <w:r>
        <w:rPr>
          <w:rFonts w:hint="eastAsia" w:ascii="仿宋" w:hAnsi="仿宋" w:eastAsia="仿宋" w:cs="宋体"/>
          <w:bCs/>
          <w:kern w:val="0"/>
          <w:sz w:val="30"/>
          <w:szCs w:val="30"/>
          <w:highlight w:val="none"/>
        </w:rPr>
        <w:t>高质标准化研究院以“用标准链接质量服务上下游赋能中国企业高质量发展”为使命，以成为世界一流、国内顶尖的标准化大数据运营企业及国家质量基础设施场景生态服务商为愿景，实施双轮驱动战略和1+Q+N发展规划。1是质量基础设施数据，储备了全国数量最多、最完整的标准大数据；Q是国家质量基础服务、生态产品价值服务、绿色低碳服务、智力资源服务为重点方向；N是用双轮驱动模式更快、更好、更强去创建、捕捉、链接场景。</w:t>
      </w:r>
    </w:p>
    <w:p>
      <w:pPr>
        <w:ind w:firstLine="600" w:firstLineChars="200"/>
        <w:rPr>
          <w:rFonts w:hint="eastAsia" w:ascii="仿宋" w:hAnsi="仿宋" w:eastAsia="仿宋" w:cs="宋体"/>
          <w:bCs/>
          <w:kern w:val="0"/>
          <w:sz w:val="30"/>
          <w:szCs w:val="30"/>
          <w:highlight w:val="none"/>
        </w:rPr>
      </w:pPr>
      <w:r>
        <w:rPr>
          <w:rFonts w:hint="eastAsia" w:ascii="仿宋" w:hAnsi="仿宋" w:eastAsia="仿宋" w:cs="宋体"/>
          <w:bCs/>
          <w:kern w:val="0"/>
          <w:sz w:val="30"/>
          <w:szCs w:val="30"/>
          <w:highlight w:val="none"/>
        </w:rPr>
        <w:t>研究院是中国标准化研究院高质量与绿色发展创新运营主体，是连接3个国际标委会秘书处、12个国际机构与标准化组织关键职务、11个对口国际标委会、8个对口国际机构的山东窗口，国家氢能技术标准创新基地、国家绿色技术与标准创新基地、国家能效水效工程中心智能实验室的共建单位。高质标准化研究院是国内首家集产业、质量、标准大数据与标准智能解析为一体，在先进技术的精准性分析、生产过程的规范性控制、终端产品的关键性参数、综合性能的先进性判断、质量品牌建设、绿色低碳运营和国家质量基础设施（NQI）平台建设等方面拥有雄厚实力的混合所有制新型研发机构。</w:t>
      </w:r>
    </w:p>
    <w:p>
      <w:pPr>
        <w:rPr>
          <w:rFonts w:ascii="宋体"/>
          <w:b/>
          <w:sz w:val="36"/>
          <w:szCs w:val="36"/>
        </w:rPr>
      </w:pPr>
      <w:r>
        <w:rPr>
          <w:rFonts w:ascii="宋体"/>
          <w:b/>
          <w:sz w:val="36"/>
          <w:szCs w:val="36"/>
        </w:rPr>
        <w:br w:type="page"/>
      </w:r>
    </w:p>
    <w:p>
      <w:pPr>
        <w:rPr>
          <w:rFonts w:ascii="宋体"/>
          <w:b/>
          <w:color w:val="000000"/>
          <w:sz w:val="28"/>
        </w:rPr>
      </w:pPr>
      <w:r>
        <w:rPr>
          <w:rFonts w:ascii="宋体"/>
          <w:b/>
          <w:sz w:val="36"/>
          <w:szCs w:val="36"/>
        </w:rPr>
        <w:drawing>
          <wp:inline distT="0" distB="0" distL="0" distR="0">
            <wp:extent cx="5219700" cy="1447800"/>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19700" cy="1447800"/>
                    </a:xfrm>
                    <a:prstGeom prst="rect">
                      <a:avLst/>
                    </a:prstGeom>
                    <a:noFill/>
                    <a:ln>
                      <a:noFill/>
                    </a:ln>
                  </pic:spPr>
                </pic:pic>
              </a:graphicData>
            </a:graphic>
          </wp:inline>
        </w:drawing>
      </w:r>
    </w:p>
    <w:p>
      <w:pPr>
        <w:rPr>
          <w:rFonts w:ascii="宋体"/>
          <w:b/>
          <w:color w:val="000000"/>
          <w:sz w:val="28"/>
        </w:rPr>
      </w:pPr>
    </w:p>
    <w:p>
      <w:pPr>
        <w:rPr>
          <w:rFonts w:ascii="宋体"/>
          <w:b/>
          <w:color w:val="000000"/>
          <w:sz w:val="28"/>
        </w:rPr>
      </w:pPr>
    </w:p>
    <w:p>
      <w:pPr>
        <w:rPr>
          <w:rFonts w:ascii="宋体"/>
          <w:b/>
          <w:color w:val="000000"/>
          <w:sz w:val="28"/>
        </w:rPr>
      </w:pPr>
    </w:p>
    <w:p>
      <w:pPr>
        <w:rPr>
          <w:rFonts w:ascii="宋体"/>
          <w:b/>
          <w:color w:val="000000"/>
          <w:sz w:val="28"/>
        </w:rPr>
      </w:pPr>
    </w:p>
    <w:p>
      <w:pPr>
        <w:rPr>
          <w:rFonts w:ascii="黑体" w:hAnsi="黑体" w:eastAsia="黑体"/>
          <w:color w:val="000000"/>
          <w:sz w:val="28"/>
          <w:szCs w:val="28"/>
        </w:rPr>
      </w:pPr>
      <w:r>
        <w:rPr>
          <w:rFonts w:hint="eastAsia" w:ascii="黑体" w:hAnsi="黑体" w:eastAsia="黑体"/>
          <w:color w:val="000000"/>
          <w:sz w:val="28"/>
          <w:szCs w:val="28"/>
        </w:rPr>
        <w:t>工业互联网产业联盟秘书处</w:t>
      </w:r>
    </w:p>
    <w:p>
      <w:pPr>
        <w:rPr>
          <w:rFonts w:ascii="黑体" w:hAnsi="黑体" w:eastAsia="黑体"/>
          <w:color w:val="000000"/>
          <w:sz w:val="28"/>
          <w:szCs w:val="28"/>
        </w:rPr>
      </w:pPr>
      <w:r>
        <w:rPr>
          <w:rFonts w:hint="eastAsia" w:ascii="黑体" w:hAnsi="黑体" w:eastAsia="黑体"/>
          <w:color w:val="000000"/>
          <w:sz w:val="28"/>
          <w:szCs w:val="28"/>
        </w:rPr>
        <w:t>联系电话：</w:t>
      </w:r>
      <w:r>
        <w:rPr>
          <w:rFonts w:ascii="黑体" w:hAnsi="黑体" w:eastAsia="黑体"/>
          <w:color w:val="000000"/>
          <w:sz w:val="28"/>
          <w:szCs w:val="28"/>
        </w:rPr>
        <w:t>010-62305887</w:t>
      </w:r>
    </w:p>
    <w:p>
      <w:pPr>
        <w:rPr>
          <w:rFonts w:ascii="黑体" w:hAnsi="黑体" w:eastAsia="黑体"/>
          <w:color w:val="000000"/>
          <w:sz w:val="28"/>
          <w:szCs w:val="28"/>
        </w:rPr>
      </w:pPr>
      <w:r>
        <w:rPr>
          <w:rFonts w:hint="eastAsia" w:ascii="黑体" w:hAnsi="黑体" w:eastAsia="黑体"/>
          <w:color w:val="000000"/>
          <w:sz w:val="28"/>
          <w:szCs w:val="28"/>
        </w:rPr>
        <w:t>地址：北京市海淀区花园北路</w:t>
      </w:r>
      <w:r>
        <w:rPr>
          <w:rFonts w:ascii="黑体" w:hAnsi="黑体" w:eastAsia="黑体"/>
          <w:color w:val="000000"/>
          <w:sz w:val="28"/>
          <w:szCs w:val="28"/>
        </w:rPr>
        <w:t>52</w:t>
      </w:r>
      <w:r>
        <w:rPr>
          <w:rFonts w:hint="eastAsia" w:ascii="黑体" w:hAnsi="黑体" w:eastAsia="黑体"/>
          <w:color w:val="000000"/>
          <w:sz w:val="28"/>
          <w:szCs w:val="28"/>
        </w:rPr>
        <w:t>号（</w:t>
      </w:r>
      <w:r>
        <w:rPr>
          <w:rFonts w:ascii="黑体" w:hAnsi="黑体" w:eastAsia="黑体"/>
          <w:color w:val="000000"/>
          <w:sz w:val="28"/>
          <w:szCs w:val="28"/>
        </w:rPr>
        <w:t>100191</w:t>
      </w:r>
      <w:r>
        <w:rPr>
          <w:rFonts w:hint="eastAsia" w:ascii="黑体" w:hAnsi="黑体" w:eastAsia="黑体"/>
          <w:color w:val="000000"/>
          <w:sz w:val="28"/>
          <w:szCs w:val="28"/>
        </w:rPr>
        <w:t>）</w:t>
      </w:r>
    </w:p>
    <w:p>
      <w:pPr>
        <w:rPr>
          <w:rFonts w:ascii="黑体" w:hAnsi="黑体" w:eastAsia="黑体"/>
          <w:color w:val="000000"/>
          <w:sz w:val="28"/>
          <w:szCs w:val="28"/>
        </w:rPr>
      </w:pPr>
      <w:r>
        <w:rPr>
          <w:rFonts w:hint="eastAsia" w:ascii="黑体" w:hAnsi="黑体" w:eastAsia="黑体"/>
          <w:color w:val="000000"/>
          <w:sz w:val="28"/>
          <w:szCs w:val="28"/>
        </w:rPr>
        <w:t>联盟邮箱：</w:t>
      </w:r>
      <w:r>
        <w:rPr>
          <w:rFonts w:ascii="黑体" w:hAnsi="黑体" w:eastAsia="黑体"/>
          <w:color w:val="000000"/>
          <w:sz w:val="28"/>
          <w:szCs w:val="28"/>
        </w:rPr>
        <w:t xml:space="preserve">aii@caict.ac.cn </w:t>
      </w:r>
    </w:p>
    <w:p>
      <w:pPr>
        <w:rPr>
          <w:rFonts w:ascii="黑体" w:hAnsi="黑体" w:eastAsia="黑体"/>
          <w:color w:val="000000"/>
          <w:sz w:val="28"/>
          <w:szCs w:val="28"/>
        </w:rPr>
      </w:pPr>
      <w:r>
        <w:rPr>
          <w:rFonts w:hint="eastAsia" w:ascii="黑体" w:hAnsi="黑体" w:eastAsia="黑体"/>
          <w:color w:val="000000"/>
          <w:sz w:val="28"/>
          <w:szCs w:val="28"/>
        </w:rPr>
        <w:t>联盟网址：</w:t>
      </w:r>
      <w:r>
        <w:fldChar w:fldCharType="begin"/>
      </w:r>
      <w:r>
        <w:instrText xml:space="preserve"> HYPERLINK "http://www.aii-alliance.org/" \t "_blank" </w:instrText>
      </w:r>
      <w:r>
        <w:fldChar w:fldCharType="separate"/>
      </w:r>
      <w:r>
        <w:rPr>
          <w:rFonts w:ascii="黑体" w:hAnsi="黑体" w:eastAsia="黑体"/>
          <w:color w:val="000000"/>
          <w:sz w:val="28"/>
          <w:szCs w:val="28"/>
        </w:rPr>
        <w:t>www.aii-alliance.org</w:t>
      </w:r>
      <w:r>
        <w:rPr>
          <w:rFonts w:ascii="黑体" w:hAnsi="黑体" w:eastAsia="黑体"/>
          <w:color w:val="000000"/>
          <w:sz w:val="28"/>
          <w:szCs w:val="28"/>
        </w:rPr>
        <w:fldChar w:fldCharType="end"/>
      </w:r>
    </w:p>
    <w:sectPr>
      <w:headerReference r:id="rId9" w:type="first"/>
      <w:footerReference r:id="rId10" w:type="first"/>
      <w:pgSz w:w="11906" w:h="16838"/>
      <w:pgMar w:top="1985" w:right="1700" w:bottom="1440" w:left="1843"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185928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9280" cy="495300"/>
                  </a:xfrm>
                  <a:prstGeom prst="rect">
                    <a:avLst/>
                  </a:prstGeom>
                  <a:noFill/>
                  <a:ln>
                    <a:noFill/>
                  </a:ln>
                </pic:spPr>
              </pic:pic>
            </a:graphicData>
          </a:graphic>
        </wp:inline>
      </w:drawing>
    </w:r>
    <w:r>
      <w:t xml:space="preserve">                                                         </w:t>
    </w:r>
    <w:r>
      <w:rPr>
        <w:lang w:val="zh-CN"/>
      </w:rPr>
      <w:fldChar w:fldCharType="begin"/>
    </w:r>
    <w:r>
      <w:rPr>
        <w:lang w:val="zh-CN"/>
      </w:rPr>
      <w:instrText xml:space="preserve">PAGE   \* MERGEFORMAT</w:instrText>
    </w:r>
    <w:r>
      <w:rPr>
        <w:lang w:val="zh-CN"/>
      </w:rP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inline distT="0" distB="0" distL="0" distR="0">
          <wp:extent cx="1859280" cy="495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9280" cy="495300"/>
                  </a:xfrm>
                  <a:prstGeom prst="rect">
                    <a:avLst/>
                  </a:prstGeom>
                  <a:noFill/>
                  <a:ln>
                    <a:noFill/>
                  </a:ln>
                </pic:spPr>
              </pic:pic>
            </a:graphicData>
          </a:graphic>
        </wp:inline>
      </w:drawing>
    </w:r>
    <w:r>
      <w:t xml:space="preserve">                                                          </w:t>
    </w:r>
    <w:r>
      <w:rPr>
        <w:b/>
      </w:rPr>
      <w:fldChar w:fldCharType="begin"/>
    </w:r>
    <w:r>
      <w:rPr>
        <w:b/>
      </w:rPr>
      <w:instrText xml:space="preserve">PAGE</w:instrText>
    </w:r>
    <w:r>
      <w:rPr>
        <w:b/>
      </w:rPr>
      <w:fldChar w:fldCharType="separate"/>
    </w:r>
    <w:r>
      <w:rPr>
        <w:b/>
      </w:rPr>
      <w:t>I</w:t>
    </w:r>
    <w:r>
      <w:rPr>
        <w:b/>
      </w:rPr>
      <w:fldChar w:fldCharType="end"/>
    </w:r>
    <w:r>
      <w:rPr>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drawing>
        <wp:inline distT="0" distB="0" distL="0" distR="0">
          <wp:extent cx="1859280" cy="495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59280" cy="495300"/>
                  </a:xfrm>
                  <a:prstGeom prst="rect">
                    <a:avLst/>
                  </a:prstGeom>
                  <a:noFill/>
                  <a:ln>
                    <a:noFill/>
                  </a:ln>
                </pic:spPr>
              </pic:pic>
            </a:graphicData>
          </a:graphic>
        </wp:inline>
      </w:drawing>
    </w:r>
    <w:r>
      <w:t xml:space="preserve">                                                          </w:t>
    </w: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862ED"/>
    <w:multiLevelType w:val="multilevel"/>
    <w:tmpl w:val="5F6862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9D02AB"/>
    <w:multiLevelType w:val="multilevel"/>
    <w:tmpl w:val="779D02AB"/>
    <w:lvl w:ilvl="0" w:tentative="0">
      <w:start w:val="1"/>
      <w:numFmt w:val="japaneseCounting"/>
      <w:lvlText w:val="（%1）"/>
      <w:lvlJc w:val="left"/>
      <w:pPr>
        <w:ind w:left="930" w:hanging="9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9"/>
    <w:rsid w:val="00000491"/>
    <w:rsid w:val="0000230D"/>
    <w:rsid w:val="0000306D"/>
    <w:rsid w:val="0000326D"/>
    <w:rsid w:val="00003E97"/>
    <w:rsid w:val="00004F03"/>
    <w:rsid w:val="000055A5"/>
    <w:rsid w:val="00005D7C"/>
    <w:rsid w:val="00006161"/>
    <w:rsid w:val="00006413"/>
    <w:rsid w:val="00006AB4"/>
    <w:rsid w:val="000073D0"/>
    <w:rsid w:val="000074DC"/>
    <w:rsid w:val="00010392"/>
    <w:rsid w:val="0001266A"/>
    <w:rsid w:val="0001470C"/>
    <w:rsid w:val="00014A32"/>
    <w:rsid w:val="00014D13"/>
    <w:rsid w:val="0001656F"/>
    <w:rsid w:val="00020C14"/>
    <w:rsid w:val="000211FA"/>
    <w:rsid w:val="00021502"/>
    <w:rsid w:val="00021CC1"/>
    <w:rsid w:val="000222B5"/>
    <w:rsid w:val="00023065"/>
    <w:rsid w:val="00023AB4"/>
    <w:rsid w:val="000247B0"/>
    <w:rsid w:val="000257C5"/>
    <w:rsid w:val="00025CC9"/>
    <w:rsid w:val="00025E13"/>
    <w:rsid w:val="00026C83"/>
    <w:rsid w:val="000273CE"/>
    <w:rsid w:val="00027ECC"/>
    <w:rsid w:val="0003649D"/>
    <w:rsid w:val="00036898"/>
    <w:rsid w:val="000416F6"/>
    <w:rsid w:val="00041E5F"/>
    <w:rsid w:val="0004477A"/>
    <w:rsid w:val="00045AC7"/>
    <w:rsid w:val="00045B41"/>
    <w:rsid w:val="00047EE5"/>
    <w:rsid w:val="00051A38"/>
    <w:rsid w:val="000549AE"/>
    <w:rsid w:val="00054B42"/>
    <w:rsid w:val="00054C3C"/>
    <w:rsid w:val="00054F18"/>
    <w:rsid w:val="00056428"/>
    <w:rsid w:val="0006048E"/>
    <w:rsid w:val="00060FA1"/>
    <w:rsid w:val="000612D8"/>
    <w:rsid w:val="000616C5"/>
    <w:rsid w:val="00063264"/>
    <w:rsid w:val="000648C9"/>
    <w:rsid w:val="000652EB"/>
    <w:rsid w:val="0006583C"/>
    <w:rsid w:val="00065F01"/>
    <w:rsid w:val="00067048"/>
    <w:rsid w:val="000676B4"/>
    <w:rsid w:val="00067D10"/>
    <w:rsid w:val="00071E0C"/>
    <w:rsid w:val="00074FB6"/>
    <w:rsid w:val="0007550C"/>
    <w:rsid w:val="00075E17"/>
    <w:rsid w:val="00077BD1"/>
    <w:rsid w:val="00080D87"/>
    <w:rsid w:val="00081C6A"/>
    <w:rsid w:val="00093367"/>
    <w:rsid w:val="00093596"/>
    <w:rsid w:val="00093A44"/>
    <w:rsid w:val="00094C9D"/>
    <w:rsid w:val="00094ED8"/>
    <w:rsid w:val="00096062"/>
    <w:rsid w:val="000A0596"/>
    <w:rsid w:val="000A0F32"/>
    <w:rsid w:val="000A333F"/>
    <w:rsid w:val="000A33F2"/>
    <w:rsid w:val="000A3731"/>
    <w:rsid w:val="000B03FC"/>
    <w:rsid w:val="000B3692"/>
    <w:rsid w:val="000B3749"/>
    <w:rsid w:val="000B69D9"/>
    <w:rsid w:val="000B7341"/>
    <w:rsid w:val="000B7B07"/>
    <w:rsid w:val="000C0CFD"/>
    <w:rsid w:val="000C4B2D"/>
    <w:rsid w:val="000C4BD2"/>
    <w:rsid w:val="000C5E5D"/>
    <w:rsid w:val="000C60EE"/>
    <w:rsid w:val="000C6411"/>
    <w:rsid w:val="000C6837"/>
    <w:rsid w:val="000D1BE6"/>
    <w:rsid w:val="000D1CD8"/>
    <w:rsid w:val="000D244F"/>
    <w:rsid w:val="000D2BC9"/>
    <w:rsid w:val="000D34E0"/>
    <w:rsid w:val="000D3ECA"/>
    <w:rsid w:val="000D41CB"/>
    <w:rsid w:val="000D6B57"/>
    <w:rsid w:val="000D7797"/>
    <w:rsid w:val="000E2ADD"/>
    <w:rsid w:val="000E3BF7"/>
    <w:rsid w:val="000E3C0B"/>
    <w:rsid w:val="000E487B"/>
    <w:rsid w:val="000E4DB9"/>
    <w:rsid w:val="000F358B"/>
    <w:rsid w:val="000F3ADA"/>
    <w:rsid w:val="000F449D"/>
    <w:rsid w:val="000F4599"/>
    <w:rsid w:val="000F4BC9"/>
    <w:rsid w:val="000F6414"/>
    <w:rsid w:val="000F7B9D"/>
    <w:rsid w:val="00100E98"/>
    <w:rsid w:val="00100FFC"/>
    <w:rsid w:val="00106684"/>
    <w:rsid w:val="00106A87"/>
    <w:rsid w:val="0011389B"/>
    <w:rsid w:val="001138DF"/>
    <w:rsid w:val="0011419C"/>
    <w:rsid w:val="001155A8"/>
    <w:rsid w:val="00116D3B"/>
    <w:rsid w:val="00122584"/>
    <w:rsid w:val="001236F3"/>
    <w:rsid w:val="0012396B"/>
    <w:rsid w:val="00124AF2"/>
    <w:rsid w:val="00125F5F"/>
    <w:rsid w:val="0012656F"/>
    <w:rsid w:val="00126CA7"/>
    <w:rsid w:val="00131736"/>
    <w:rsid w:val="001350C9"/>
    <w:rsid w:val="00136F8C"/>
    <w:rsid w:val="00140CA6"/>
    <w:rsid w:val="0014154C"/>
    <w:rsid w:val="00141EB4"/>
    <w:rsid w:val="00143383"/>
    <w:rsid w:val="0014357D"/>
    <w:rsid w:val="00144CFE"/>
    <w:rsid w:val="00145641"/>
    <w:rsid w:val="00152395"/>
    <w:rsid w:val="0015263E"/>
    <w:rsid w:val="00152D0F"/>
    <w:rsid w:val="0015362F"/>
    <w:rsid w:val="00154B1E"/>
    <w:rsid w:val="00155CB1"/>
    <w:rsid w:val="001568DA"/>
    <w:rsid w:val="00157417"/>
    <w:rsid w:val="001575D2"/>
    <w:rsid w:val="001602DB"/>
    <w:rsid w:val="00160622"/>
    <w:rsid w:val="001610BE"/>
    <w:rsid w:val="00161406"/>
    <w:rsid w:val="00163331"/>
    <w:rsid w:val="00164AF4"/>
    <w:rsid w:val="00165380"/>
    <w:rsid w:val="00166CB9"/>
    <w:rsid w:val="0016726A"/>
    <w:rsid w:val="0017191C"/>
    <w:rsid w:val="001731F9"/>
    <w:rsid w:val="00174A6E"/>
    <w:rsid w:val="00181919"/>
    <w:rsid w:val="00182320"/>
    <w:rsid w:val="00182982"/>
    <w:rsid w:val="00182C79"/>
    <w:rsid w:val="00184AE8"/>
    <w:rsid w:val="00185DA5"/>
    <w:rsid w:val="0018680D"/>
    <w:rsid w:val="00190BFB"/>
    <w:rsid w:val="00190C43"/>
    <w:rsid w:val="00193340"/>
    <w:rsid w:val="00193E3B"/>
    <w:rsid w:val="00196446"/>
    <w:rsid w:val="001A2C10"/>
    <w:rsid w:val="001A2DE1"/>
    <w:rsid w:val="001A3010"/>
    <w:rsid w:val="001A638B"/>
    <w:rsid w:val="001A6815"/>
    <w:rsid w:val="001B09C3"/>
    <w:rsid w:val="001B12F1"/>
    <w:rsid w:val="001B3406"/>
    <w:rsid w:val="001B342A"/>
    <w:rsid w:val="001B3CF9"/>
    <w:rsid w:val="001B3F10"/>
    <w:rsid w:val="001B5732"/>
    <w:rsid w:val="001B6B21"/>
    <w:rsid w:val="001B7FD9"/>
    <w:rsid w:val="001C016E"/>
    <w:rsid w:val="001C02AD"/>
    <w:rsid w:val="001C1C84"/>
    <w:rsid w:val="001C4787"/>
    <w:rsid w:val="001C6CE7"/>
    <w:rsid w:val="001C6E20"/>
    <w:rsid w:val="001C73D5"/>
    <w:rsid w:val="001D1FC1"/>
    <w:rsid w:val="001D1FC8"/>
    <w:rsid w:val="001D2C9D"/>
    <w:rsid w:val="001D3E5F"/>
    <w:rsid w:val="001D4E17"/>
    <w:rsid w:val="001D4E66"/>
    <w:rsid w:val="001D7EE1"/>
    <w:rsid w:val="001E0561"/>
    <w:rsid w:val="001E359C"/>
    <w:rsid w:val="001E3920"/>
    <w:rsid w:val="001E4444"/>
    <w:rsid w:val="001E7182"/>
    <w:rsid w:val="001F05E3"/>
    <w:rsid w:val="001F0921"/>
    <w:rsid w:val="001F0A4B"/>
    <w:rsid w:val="001F259D"/>
    <w:rsid w:val="001F616C"/>
    <w:rsid w:val="001F7044"/>
    <w:rsid w:val="001F79F1"/>
    <w:rsid w:val="001F7BE2"/>
    <w:rsid w:val="00200C6F"/>
    <w:rsid w:val="00201A6E"/>
    <w:rsid w:val="0020349F"/>
    <w:rsid w:val="00203DFE"/>
    <w:rsid w:val="002060BC"/>
    <w:rsid w:val="002068FE"/>
    <w:rsid w:val="00206D2F"/>
    <w:rsid w:val="002101F3"/>
    <w:rsid w:val="00210E98"/>
    <w:rsid w:val="00211654"/>
    <w:rsid w:val="00215D03"/>
    <w:rsid w:val="00216352"/>
    <w:rsid w:val="0021775C"/>
    <w:rsid w:val="00220145"/>
    <w:rsid w:val="00220E2A"/>
    <w:rsid w:val="00221F06"/>
    <w:rsid w:val="00223D5A"/>
    <w:rsid w:val="002303BD"/>
    <w:rsid w:val="00231050"/>
    <w:rsid w:val="00233214"/>
    <w:rsid w:val="002339CD"/>
    <w:rsid w:val="002353D9"/>
    <w:rsid w:val="002358C1"/>
    <w:rsid w:val="00235D48"/>
    <w:rsid w:val="00236323"/>
    <w:rsid w:val="002372AF"/>
    <w:rsid w:val="0024180F"/>
    <w:rsid w:val="00242DD2"/>
    <w:rsid w:val="002434C9"/>
    <w:rsid w:val="00244E76"/>
    <w:rsid w:val="00245F63"/>
    <w:rsid w:val="0024619A"/>
    <w:rsid w:val="00247AA1"/>
    <w:rsid w:val="002503FD"/>
    <w:rsid w:val="002527E7"/>
    <w:rsid w:val="002543E6"/>
    <w:rsid w:val="002605DB"/>
    <w:rsid w:val="0026304E"/>
    <w:rsid w:val="0026446E"/>
    <w:rsid w:val="002665DF"/>
    <w:rsid w:val="00266FD7"/>
    <w:rsid w:val="00271D66"/>
    <w:rsid w:val="00272FBA"/>
    <w:rsid w:val="00274C40"/>
    <w:rsid w:val="002770C8"/>
    <w:rsid w:val="00283D4B"/>
    <w:rsid w:val="00284BE4"/>
    <w:rsid w:val="00285503"/>
    <w:rsid w:val="0028663B"/>
    <w:rsid w:val="00290ED0"/>
    <w:rsid w:val="0029283A"/>
    <w:rsid w:val="00293D46"/>
    <w:rsid w:val="00295223"/>
    <w:rsid w:val="002953CE"/>
    <w:rsid w:val="00295629"/>
    <w:rsid w:val="002A155C"/>
    <w:rsid w:val="002A19F4"/>
    <w:rsid w:val="002A1AD4"/>
    <w:rsid w:val="002A1F71"/>
    <w:rsid w:val="002A24FB"/>
    <w:rsid w:val="002A3A82"/>
    <w:rsid w:val="002A67C7"/>
    <w:rsid w:val="002B0138"/>
    <w:rsid w:val="002B06C7"/>
    <w:rsid w:val="002B0CD8"/>
    <w:rsid w:val="002B13ED"/>
    <w:rsid w:val="002B1F96"/>
    <w:rsid w:val="002B4552"/>
    <w:rsid w:val="002B4CB2"/>
    <w:rsid w:val="002B6311"/>
    <w:rsid w:val="002B74E9"/>
    <w:rsid w:val="002B7DD2"/>
    <w:rsid w:val="002C01AB"/>
    <w:rsid w:val="002C0816"/>
    <w:rsid w:val="002C0DA8"/>
    <w:rsid w:val="002C1DEC"/>
    <w:rsid w:val="002C3182"/>
    <w:rsid w:val="002C3449"/>
    <w:rsid w:val="002D0E31"/>
    <w:rsid w:val="002D1FD7"/>
    <w:rsid w:val="002D3853"/>
    <w:rsid w:val="002D561B"/>
    <w:rsid w:val="002D5669"/>
    <w:rsid w:val="002D593E"/>
    <w:rsid w:val="002D6B3B"/>
    <w:rsid w:val="002D7510"/>
    <w:rsid w:val="002D7CA2"/>
    <w:rsid w:val="002E017C"/>
    <w:rsid w:val="002E0676"/>
    <w:rsid w:val="002E08B1"/>
    <w:rsid w:val="002E0BA6"/>
    <w:rsid w:val="002E23A3"/>
    <w:rsid w:val="002E2A1B"/>
    <w:rsid w:val="002E3871"/>
    <w:rsid w:val="002E5973"/>
    <w:rsid w:val="002F1B08"/>
    <w:rsid w:val="002F1B75"/>
    <w:rsid w:val="002F1C16"/>
    <w:rsid w:val="002F3257"/>
    <w:rsid w:val="003000E7"/>
    <w:rsid w:val="0030056C"/>
    <w:rsid w:val="00303F77"/>
    <w:rsid w:val="00305B7D"/>
    <w:rsid w:val="00310CF6"/>
    <w:rsid w:val="00317112"/>
    <w:rsid w:val="0032014C"/>
    <w:rsid w:val="0032189F"/>
    <w:rsid w:val="0032286C"/>
    <w:rsid w:val="003233C5"/>
    <w:rsid w:val="00323F5B"/>
    <w:rsid w:val="00324DE3"/>
    <w:rsid w:val="00325766"/>
    <w:rsid w:val="00326437"/>
    <w:rsid w:val="00334164"/>
    <w:rsid w:val="003363F8"/>
    <w:rsid w:val="00340E03"/>
    <w:rsid w:val="0034154F"/>
    <w:rsid w:val="0034392F"/>
    <w:rsid w:val="00344C0C"/>
    <w:rsid w:val="00345A79"/>
    <w:rsid w:val="003465AB"/>
    <w:rsid w:val="003466DC"/>
    <w:rsid w:val="0034676A"/>
    <w:rsid w:val="00347124"/>
    <w:rsid w:val="0035011E"/>
    <w:rsid w:val="00351CC7"/>
    <w:rsid w:val="003532C0"/>
    <w:rsid w:val="0035402B"/>
    <w:rsid w:val="003550F0"/>
    <w:rsid w:val="003600B3"/>
    <w:rsid w:val="00361A0A"/>
    <w:rsid w:val="00361FFF"/>
    <w:rsid w:val="0036218F"/>
    <w:rsid w:val="0036527C"/>
    <w:rsid w:val="00365329"/>
    <w:rsid w:val="00365B51"/>
    <w:rsid w:val="00367B3D"/>
    <w:rsid w:val="00372A74"/>
    <w:rsid w:val="00372D76"/>
    <w:rsid w:val="00372DD3"/>
    <w:rsid w:val="00375858"/>
    <w:rsid w:val="003759E1"/>
    <w:rsid w:val="00376367"/>
    <w:rsid w:val="003778DF"/>
    <w:rsid w:val="0038038E"/>
    <w:rsid w:val="0038065D"/>
    <w:rsid w:val="003807BD"/>
    <w:rsid w:val="00384519"/>
    <w:rsid w:val="0038685D"/>
    <w:rsid w:val="003876E0"/>
    <w:rsid w:val="003902BA"/>
    <w:rsid w:val="00390461"/>
    <w:rsid w:val="0039506A"/>
    <w:rsid w:val="0039710B"/>
    <w:rsid w:val="0039749E"/>
    <w:rsid w:val="003976E0"/>
    <w:rsid w:val="003A08D2"/>
    <w:rsid w:val="003A22BE"/>
    <w:rsid w:val="003A363D"/>
    <w:rsid w:val="003A62A6"/>
    <w:rsid w:val="003A76C9"/>
    <w:rsid w:val="003B09AA"/>
    <w:rsid w:val="003B0CFA"/>
    <w:rsid w:val="003B0D5F"/>
    <w:rsid w:val="003B148C"/>
    <w:rsid w:val="003B186D"/>
    <w:rsid w:val="003B22DF"/>
    <w:rsid w:val="003B261D"/>
    <w:rsid w:val="003B5ED3"/>
    <w:rsid w:val="003C0AAC"/>
    <w:rsid w:val="003C1253"/>
    <w:rsid w:val="003C168F"/>
    <w:rsid w:val="003C1807"/>
    <w:rsid w:val="003C2ADC"/>
    <w:rsid w:val="003C4A9D"/>
    <w:rsid w:val="003C568D"/>
    <w:rsid w:val="003C777B"/>
    <w:rsid w:val="003D1EAC"/>
    <w:rsid w:val="003D284A"/>
    <w:rsid w:val="003D33D1"/>
    <w:rsid w:val="003D4916"/>
    <w:rsid w:val="003D4E94"/>
    <w:rsid w:val="003D650E"/>
    <w:rsid w:val="003D65F3"/>
    <w:rsid w:val="003E43F8"/>
    <w:rsid w:val="003E6C98"/>
    <w:rsid w:val="003E7911"/>
    <w:rsid w:val="003F1B06"/>
    <w:rsid w:val="003F2AFE"/>
    <w:rsid w:val="003F2E45"/>
    <w:rsid w:val="003F3E13"/>
    <w:rsid w:val="003F5327"/>
    <w:rsid w:val="003F6FCB"/>
    <w:rsid w:val="003F71D8"/>
    <w:rsid w:val="003F798F"/>
    <w:rsid w:val="0040018F"/>
    <w:rsid w:val="0040156E"/>
    <w:rsid w:val="004016D6"/>
    <w:rsid w:val="0040287D"/>
    <w:rsid w:val="00403B94"/>
    <w:rsid w:val="004053C4"/>
    <w:rsid w:val="00405567"/>
    <w:rsid w:val="004060E1"/>
    <w:rsid w:val="00410AD8"/>
    <w:rsid w:val="00411159"/>
    <w:rsid w:val="00411B5B"/>
    <w:rsid w:val="00411D40"/>
    <w:rsid w:val="004128DD"/>
    <w:rsid w:val="004131F5"/>
    <w:rsid w:val="00415005"/>
    <w:rsid w:val="00415278"/>
    <w:rsid w:val="00415DB8"/>
    <w:rsid w:val="004170F2"/>
    <w:rsid w:val="00417D8F"/>
    <w:rsid w:val="0042144B"/>
    <w:rsid w:val="00423B57"/>
    <w:rsid w:val="00423EE8"/>
    <w:rsid w:val="00424A4A"/>
    <w:rsid w:val="00424E57"/>
    <w:rsid w:val="00425684"/>
    <w:rsid w:val="00426516"/>
    <w:rsid w:val="00426751"/>
    <w:rsid w:val="00426AB0"/>
    <w:rsid w:val="00430C91"/>
    <w:rsid w:val="004317E3"/>
    <w:rsid w:val="004351BD"/>
    <w:rsid w:val="00435BBF"/>
    <w:rsid w:val="004363C7"/>
    <w:rsid w:val="00441A5C"/>
    <w:rsid w:val="00445D30"/>
    <w:rsid w:val="00446567"/>
    <w:rsid w:val="004472C9"/>
    <w:rsid w:val="00447967"/>
    <w:rsid w:val="00447A47"/>
    <w:rsid w:val="0045214D"/>
    <w:rsid w:val="004534B7"/>
    <w:rsid w:val="00453DDB"/>
    <w:rsid w:val="00455014"/>
    <w:rsid w:val="004559D8"/>
    <w:rsid w:val="00455E8E"/>
    <w:rsid w:val="004618A9"/>
    <w:rsid w:val="00461CBE"/>
    <w:rsid w:val="004639C3"/>
    <w:rsid w:val="00463C53"/>
    <w:rsid w:val="004648B0"/>
    <w:rsid w:val="004660EA"/>
    <w:rsid w:val="004664DA"/>
    <w:rsid w:val="00467EAC"/>
    <w:rsid w:val="00470BA8"/>
    <w:rsid w:val="004715CD"/>
    <w:rsid w:val="00472005"/>
    <w:rsid w:val="0047223D"/>
    <w:rsid w:val="00475E80"/>
    <w:rsid w:val="004763C9"/>
    <w:rsid w:val="004829A1"/>
    <w:rsid w:val="00482EE6"/>
    <w:rsid w:val="004832C6"/>
    <w:rsid w:val="004840D6"/>
    <w:rsid w:val="0048430C"/>
    <w:rsid w:val="004902DE"/>
    <w:rsid w:val="0049068E"/>
    <w:rsid w:val="00490EF3"/>
    <w:rsid w:val="0049314F"/>
    <w:rsid w:val="00496466"/>
    <w:rsid w:val="004A02A9"/>
    <w:rsid w:val="004A06A9"/>
    <w:rsid w:val="004A1C19"/>
    <w:rsid w:val="004A1E4F"/>
    <w:rsid w:val="004A2D5C"/>
    <w:rsid w:val="004A5C44"/>
    <w:rsid w:val="004A640D"/>
    <w:rsid w:val="004B06BA"/>
    <w:rsid w:val="004B3249"/>
    <w:rsid w:val="004B3889"/>
    <w:rsid w:val="004C0539"/>
    <w:rsid w:val="004C1D34"/>
    <w:rsid w:val="004C3A63"/>
    <w:rsid w:val="004D068C"/>
    <w:rsid w:val="004D2091"/>
    <w:rsid w:val="004D221F"/>
    <w:rsid w:val="004E07F6"/>
    <w:rsid w:val="004E09DF"/>
    <w:rsid w:val="004E1174"/>
    <w:rsid w:val="004E1E69"/>
    <w:rsid w:val="004E2249"/>
    <w:rsid w:val="004E28CE"/>
    <w:rsid w:val="004E49EF"/>
    <w:rsid w:val="004E6EAD"/>
    <w:rsid w:val="004F0455"/>
    <w:rsid w:val="004F17AF"/>
    <w:rsid w:val="004F31B0"/>
    <w:rsid w:val="004F4875"/>
    <w:rsid w:val="004F5CEA"/>
    <w:rsid w:val="004F752A"/>
    <w:rsid w:val="0050086F"/>
    <w:rsid w:val="00501D17"/>
    <w:rsid w:val="0050274E"/>
    <w:rsid w:val="005031A4"/>
    <w:rsid w:val="00503C62"/>
    <w:rsid w:val="00504F11"/>
    <w:rsid w:val="00505904"/>
    <w:rsid w:val="00505BB5"/>
    <w:rsid w:val="0051223A"/>
    <w:rsid w:val="00512C0E"/>
    <w:rsid w:val="00513A33"/>
    <w:rsid w:val="0051402C"/>
    <w:rsid w:val="005143A0"/>
    <w:rsid w:val="00517E57"/>
    <w:rsid w:val="00520139"/>
    <w:rsid w:val="005237E8"/>
    <w:rsid w:val="0052409C"/>
    <w:rsid w:val="00524971"/>
    <w:rsid w:val="00524A97"/>
    <w:rsid w:val="00525AE5"/>
    <w:rsid w:val="00526A15"/>
    <w:rsid w:val="00527233"/>
    <w:rsid w:val="005275D0"/>
    <w:rsid w:val="0053051A"/>
    <w:rsid w:val="00530786"/>
    <w:rsid w:val="00531614"/>
    <w:rsid w:val="005317AB"/>
    <w:rsid w:val="0053299F"/>
    <w:rsid w:val="00532BC9"/>
    <w:rsid w:val="00533E13"/>
    <w:rsid w:val="00535B51"/>
    <w:rsid w:val="005371E2"/>
    <w:rsid w:val="00537EDA"/>
    <w:rsid w:val="00542C06"/>
    <w:rsid w:val="00544611"/>
    <w:rsid w:val="00544CD6"/>
    <w:rsid w:val="00544F63"/>
    <w:rsid w:val="0054517F"/>
    <w:rsid w:val="005514FD"/>
    <w:rsid w:val="00551D7C"/>
    <w:rsid w:val="00553590"/>
    <w:rsid w:val="005541C0"/>
    <w:rsid w:val="00557334"/>
    <w:rsid w:val="00560039"/>
    <w:rsid w:val="00561CE8"/>
    <w:rsid w:val="00562C1D"/>
    <w:rsid w:val="005634CA"/>
    <w:rsid w:val="005635D4"/>
    <w:rsid w:val="0056475E"/>
    <w:rsid w:val="00564B3C"/>
    <w:rsid w:val="00567236"/>
    <w:rsid w:val="00570E5A"/>
    <w:rsid w:val="0057125A"/>
    <w:rsid w:val="005723A7"/>
    <w:rsid w:val="00573265"/>
    <w:rsid w:val="00573E97"/>
    <w:rsid w:val="00576F75"/>
    <w:rsid w:val="0057717A"/>
    <w:rsid w:val="00580829"/>
    <w:rsid w:val="00582501"/>
    <w:rsid w:val="00586E93"/>
    <w:rsid w:val="0059203E"/>
    <w:rsid w:val="0059236F"/>
    <w:rsid w:val="005935C9"/>
    <w:rsid w:val="00595014"/>
    <w:rsid w:val="00595957"/>
    <w:rsid w:val="00595D63"/>
    <w:rsid w:val="005968AB"/>
    <w:rsid w:val="00597F1B"/>
    <w:rsid w:val="005A2817"/>
    <w:rsid w:val="005A3791"/>
    <w:rsid w:val="005A37F2"/>
    <w:rsid w:val="005A3E6E"/>
    <w:rsid w:val="005A4FDA"/>
    <w:rsid w:val="005A7098"/>
    <w:rsid w:val="005B0A57"/>
    <w:rsid w:val="005B1381"/>
    <w:rsid w:val="005B4EBF"/>
    <w:rsid w:val="005B5DDD"/>
    <w:rsid w:val="005B5F7D"/>
    <w:rsid w:val="005B63C4"/>
    <w:rsid w:val="005B72DD"/>
    <w:rsid w:val="005C06E2"/>
    <w:rsid w:val="005C2849"/>
    <w:rsid w:val="005C2D03"/>
    <w:rsid w:val="005C3197"/>
    <w:rsid w:val="005C4BD5"/>
    <w:rsid w:val="005D0766"/>
    <w:rsid w:val="005D1F6E"/>
    <w:rsid w:val="005D26AA"/>
    <w:rsid w:val="005D2BD1"/>
    <w:rsid w:val="005E0016"/>
    <w:rsid w:val="005E0937"/>
    <w:rsid w:val="005E1771"/>
    <w:rsid w:val="005E17C5"/>
    <w:rsid w:val="005E2F42"/>
    <w:rsid w:val="005E36B4"/>
    <w:rsid w:val="005E4370"/>
    <w:rsid w:val="005E6F12"/>
    <w:rsid w:val="005F0300"/>
    <w:rsid w:val="005F3320"/>
    <w:rsid w:val="005F5041"/>
    <w:rsid w:val="00600041"/>
    <w:rsid w:val="006008C3"/>
    <w:rsid w:val="0060241E"/>
    <w:rsid w:val="00603110"/>
    <w:rsid w:val="00603894"/>
    <w:rsid w:val="006059BA"/>
    <w:rsid w:val="00606720"/>
    <w:rsid w:val="00606BBF"/>
    <w:rsid w:val="0061094A"/>
    <w:rsid w:val="00621560"/>
    <w:rsid w:val="006219E7"/>
    <w:rsid w:val="00622CF0"/>
    <w:rsid w:val="00623A71"/>
    <w:rsid w:val="00623AD6"/>
    <w:rsid w:val="00624409"/>
    <w:rsid w:val="00625595"/>
    <w:rsid w:val="00626178"/>
    <w:rsid w:val="006265F0"/>
    <w:rsid w:val="006266D1"/>
    <w:rsid w:val="00630054"/>
    <w:rsid w:val="00630084"/>
    <w:rsid w:val="00630BEF"/>
    <w:rsid w:val="006323B9"/>
    <w:rsid w:val="00633200"/>
    <w:rsid w:val="0063366B"/>
    <w:rsid w:val="00634D28"/>
    <w:rsid w:val="00635539"/>
    <w:rsid w:val="00637371"/>
    <w:rsid w:val="006378BC"/>
    <w:rsid w:val="00637B72"/>
    <w:rsid w:val="00637DF4"/>
    <w:rsid w:val="00641728"/>
    <w:rsid w:val="00642C9C"/>
    <w:rsid w:val="00642CD9"/>
    <w:rsid w:val="00643B00"/>
    <w:rsid w:val="0064423D"/>
    <w:rsid w:val="00644447"/>
    <w:rsid w:val="00650AF7"/>
    <w:rsid w:val="0065198E"/>
    <w:rsid w:val="00652F81"/>
    <w:rsid w:val="0065445C"/>
    <w:rsid w:val="0065474D"/>
    <w:rsid w:val="00655764"/>
    <w:rsid w:val="00655A41"/>
    <w:rsid w:val="006563E9"/>
    <w:rsid w:val="00661B64"/>
    <w:rsid w:val="00662825"/>
    <w:rsid w:val="00664FA2"/>
    <w:rsid w:val="00666CE9"/>
    <w:rsid w:val="00667BB1"/>
    <w:rsid w:val="00670508"/>
    <w:rsid w:val="00671BD2"/>
    <w:rsid w:val="00683B6E"/>
    <w:rsid w:val="006848A8"/>
    <w:rsid w:val="0068594E"/>
    <w:rsid w:val="00685ACA"/>
    <w:rsid w:val="00686CE5"/>
    <w:rsid w:val="00687A1A"/>
    <w:rsid w:val="00690D4A"/>
    <w:rsid w:val="00690FD9"/>
    <w:rsid w:val="0069289E"/>
    <w:rsid w:val="00695695"/>
    <w:rsid w:val="00695D80"/>
    <w:rsid w:val="00696DDB"/>
    <w:rsid w:val="006A01CA"/>
    <w:rsid w:val="006A2877"/>
    <w:rsid w:val="006A2E26"/>
    <w:rsid w:val="006A4548"/>
    <w:rsid w:val="006A661F"/>
    <w:rsid w:val="006A74A3"/>
    <w:rsid w:val="006B2E4B"/>
    <w:rsid w:val="006B4116"/>
    <w:rsid w:val="006B4D3A"/>
    <w:rsid w:val="006B62BC"/>
    <w:rsid w:val="006B6895"/>
    <w:rsid w:val="006C034F"/>
    <w:rsid w:val="006C22AA"/>
    <w:rsid w:val="006C2B00"/>
    <w:rsid w:val="006C568E"/>
    <w:rsid w:val="006C5737"/>
    <w:rsid w:val="006C5CE2"/>
    <w:rsid w:val="006C6CE7"/>
    <w:rsid w:val="006C7F12"/>
    <w:rsid w:val="006D05D5"/>
    <w:rsid w:val="006D1B68"/>
    <w:rsid w:val="006D2727"/>
    <w:rsid w:val="006D5287"/>
    <w:rsid w:val="006D737A"/>
    <w:rsid w:val="006E064E"/>
    <w:rsid w:val="006E0A03"/>
    <w:rsid w:val="006E1592"/>
    <w:rsid w:val="006E1F5E"/>
    <w:rsid w:val="006E2DD5"/>
    <w:rsid w:val="006E32A6"/>
    <w:rsid w:val="006E4709"/>
    <w:rsid w:val="006E6ECE"/>
    <w:rsid w:val="006E7576"/>
    <w:rsid w:val="006E7BA7"/>
    <w:rsid w:val="006F0AE0"/>
    <w:rsid w:val="006F0C86"/>
    <w:rsid w:val="006F3D6A"/>
    <w:rsid w:val="006F3ED4"/>
    <w:rsid w:val="006F5AEB"/>
    <w:rsid w:val="006F5D8F"/>
    <w:rsid w:val="006F7692"/>
    <w:rsid w:val="0070040F"/>
    <w:rsid w:val="00700B09"/>
    <w:rsid w:val="00703BC2"/>
    <w:rsid w:val="00704148"/>
    <w:rsid w:val="0070484D"/>
    <w:rsid w:val="0070531F"/>
    <w:rsid w:val="007060AF"/>
    <w:rsid w:val="0070702B"/>
    <w:rsid w:val="00707114"/>
    <w:rsid w:val="0070711E"/>
    <w:rsid w:val="00712F54"/>
    <w:rsid w:val="0071377B"/>
    <w:rsid w:val="00713B38"/>
    <w:rsid w:val="007155AB"/>
    <w:rsid w:val="00717ABE"/>
    <w:rsid w:val="0072107D"/>
    <w:rsid w:val="00721A03"/>
    <w:rsid w:val="00722A1F"/>
    <w:rsid w:val="00723B84"/>
    <w:rsid w:val="00723E5C"/>
    <w:rsid w:val="00724CB7"/>
    <w:rsid w:val="00725BC0"/>
    <w:rsid w:val="00725FC1"/>
    <w:rsid w:val="007303B3"/>
    <w:rsid w:val="00732AE6"/>
    <w:rsid w:val="00732D52"/>
    <w:rsid w:val="0073416F"/>
    <w:rsid w:val="007365EA"/>
    <w:rsid w:val="0073695E"/>
    <w:rsid w:val="007373C0"/>
    <w:rsid w:val="0073753B"/>
    <w:rsid w:val="00740C9D"/>
    <w:rsid w:val="007415F7"/>
    <w:rsid w:val="0074204E"/>
    <w:rsid w:val="00742995"/>
    <w:rsid w:val="00742B23"/>
    <w:rsid w:val="00742B94"/>
    <w:rsid w:val="00743E81"/>
    <w:rsid w:val="00745D22"/>
    <w:rsid w:val="00746C08"/>
    <w:rsid w:val="007500E6"/>
    <w:rsid w:val="00750365"/>
    <w:rsid w:val="00752521"/>
    <w:rsid w:val="00752614"/>
    <w:rsid w:val="007536F8"/>
    <w:rsid w:val="00755641"/>
    <w:rsid w:val="007569F8"/>
    <w:rsid w:val="00763021"/>
    <w:rsid w:val="007708E3"/>
    <w:rsid w:val="00770AF5"/>
    <w:rsid w:val="00773FAA"/>
    <w:rsid w:val="00784644"/>
    <w:rsid w:val="00784DAA"/>
    <w:rsid w:val="00784FD4"/>
    <w:rsid w:val="00787495"/>
    <w:rsid w:val="0079149B"/>
    <w:rsid w:val="00792DCE"/>
    <w:rsid w:val="00793FDA"/>
    <w:rsid w:val="00794442"/>
    <w:rsid w:val="00794C4B"/>
    <w:rsid w:val="007950A7"/>
    <w:rsid w:val="00796C3D"/>
    <w:rsid w:val="00796DD6"/>
    <w:rsid w:val="007974EF"/>
    <w:rsid w:val="00797850"/>
    <w:rsid w:val="007A0DC8"/>
    <w:rsid w:val="007A360A"/>
    <w:rsid w:val="007A413B"/>
    <w:rsid w:val="007A47E8"/>
    <w:rsid w:val="007A4941"/>
    <w:rsid w:val="007A4E0D"/>
    <w:rsid w:val="007A7174"/>
    <w:rsid w:val="007A72F9"/>
    <w:rsid w:val="007B044E"/>
    <w:rsid w:val="007B05E1"/>
    <w:rsid w:val="007B23D4"/>
    <w:rsid w:val="007B2773"/>
    <w:rsid w:val="007B2829"/>
    <w:rsid w:val="007B49AD"/>
    <w:rsid w:val="007B6E0F"/>
    <w:rsid w:val="007C0741"/>
    <w:rsid w:val="007C320E"/>
    <w:rsid w:val="007C6F40"/>
    <w:rsid w:val="007C7C88"/>
    <w:rsid w:val="007C7DDF"/>
    <w:rsid w:val="007D2917"/>
    <w:rsid w:val="007D4F9A"/>
    <w:rsid w:val="007D5360"/>
    <w:rsid w:val="007D5F3B"/>
    <w:rsid w:val="007D6153"/>
    <w:rsid w:val="007D6D98"/>
    <w:rsid w:val="007D7029"/>
    <w:rsid w:val="007E1A0D"/>
    <w:rsid w:val="007E2C43"/>
    <w:rsid w:val="007E4719"/>
    <w:rsid w:val="007E49DA"/>
    <w:rsid w:val="007E605A"/>
    <w:rsid w:val="007E6162"/>
    <w:rsid w:val="007E65A9"/>
    <w:rsid w:val="007E6DAD"/>
    <w:rsid w:val="007E6E4F"/>
    <w:rsid w:val="007F0AD2"/>
    <w:rsid w:val="007F1CB2"/>
    <w:rsid w:val="007F4307"/>
    <w:rsid w:val="007F547C"/>
    <w:rsid w:val="007F6959"/>
    <w:rsid w:val="00802B7B"/>
    <w:rsid w:val="00805ACA"/>
    <w:rsid w:val="008071E7"/>
    <w:rsid w:val="0080721F"/>
    <w:rsid w:val="008108CE"/>
    <w:rsid w:val="0081176A"/>
    <w:rsid w:val="00812946"/>
    <w:rsid w:val="00812D01"/>
    <w:rsid w:val="008150A3"/>
    <w:rsid w:val="00817CF2"/>
    <w:rsid w:val="0082079A"/>
    <w:rsid w:val="00824FFB"/>
    <w:rsid w:val="00825AC3"/>
    <w:rsid w:val="00826E66"/>
    <w:rsid w:val="008270C5"/>
    <w:rsid w:val="00827361"/>
    <w:rsid w:val="008300CE"/>
    <w:rsid w:val="0083130C"/>
    <w:rsid w:val="0083130E"/>
    <w:rsid w:val="008313F0"/>
    <w:rsid w:val="008319E3"/>
    <w:rsid w:val="008326F9"/>
    <w:rsid w:val="00835382"/>
    <w:rsid w:val="00835CC8"/>
    <w:rsid w:val="0083605E"/>
    <w:rsid w:val="00836977"/>
    <w:rsid w:val="008378F1"/>
    <w:rsid w:val="008449FA"/>
    <w:rsid w:val="00850F80"/>
    <w:rsid w:val="008523C3"/>
    <w:rsid w:val="008528D4"/>
    <w:rsid w:val="008529BC"/>
    <w:rsid w:val="00856648"/>
    <w:rsid w:val="00857A7C"/>
    <w:rsid w:val="00860032"/>
    <w:rsid w:val="00866248"/>
    <w:rsid w:val="008708A5"/>
    <w:rsid w:val="00871109"/>
    <w:rsid w:val="0087417A"/>
    <w:rsid w:val="008764D6"/>
    <w:rsid w:val="00876BAA"/>
    <w:rsid w:val="00876F30"/>
    <w:rsid w:val="00877F33"/>
    <w:rsid w:val="0088009F"/>
    <w:rsid w:val="00880EC1"/>
    <w:rsid w:val="00883CF9"/>
    <w:rsid w:val="0088400C"/>
    <w:rsid w:val="00886170"/>
    <w:rsid w:val="00886897"/>
    <w:rsid w:val="00887F22"/>
    <w:rsid w:val="008901EA"/>
    <w:rsid w:val="00891333"/>
    <w:rsid w:val="008923A4"/>
    <w:rsid w:val="00892459"/>
    <w:rsid w:val="00892663"/>
    <w:rsid w:val="008927A9"/>
    <w:rsid w:val="008943E7"/>
    <w:rsid w:val="008949E4"/>
    <w:rsid w:val="00896AAF"/>
    <w:rsid w:val="00896C7C"/>
    <w:rsid w:val="0089733E"/>
    <w:rsid w:val="00897E0B"/>
    <w:rsid w:val="008B0740"/>
    <w:rsid w:val="008B1A40"/>
    <w:rsid w:val="008B1C77"/>
    <w:rsid w:val="008B354B"/>
    <w:rsid w:val="008B42DA"/>
    <w:rsid w:val="008B4D0E"/>
    <w:rsid w:val="008B5081"/>
    <w:rsid w:val="008B58EE"/>
    <w:rsid w:val="008B749A"/>
    <w:rsid w:val="008B7DD8"/>
    <w:rsid w:val="008C0940"/>
    <w:rsid w:val="008C26CB"/>
    <w:rsid w:val="008C2C5D"/>
    <w:rsid w:val="008C3332"/>
    <w:rsid w:val="008C3FFE"/>
    <w:rsid w:val="008C4CCF"/>
    <w:rsid w:val="008C58F4"/>
    <w:rsid w:val="008C5DED"/>
    <w:rsid w:val="008D07D5"/>
    <w:rsid w:val="008D245F"/>
    <w:rsid w:val="008D26BC"/>
    <w:rsid w:val="008D27BB"/>
    <w:rsid w:val="008D304A"/>
    <w:rsid w:val="008E1D17"/>
    <w:rsid w:val="008E1DB6"/>
    <w:rsid w:val="008E3E26"/>
    <w:rsid w:val="008E5833"/>
    <w:rsid w:val="008E6160"/>
    <w:rsid w:val="008E6645"/>
    <w:rsid w:val="008E7010"/>
    <w:rsid w:val="008E7C81"/>
    <w:rsid w:val="008F0909"/>
    <w:rsid w:val="008F0B62"/>
    <w:rsid w:val="008F0C26"/>
    <w:rsid w:val="008F143E"/>
    <w:rsid w:val="008F46CC"/>
    <w:rsid w:val="008F53F9"/>
    <w:rsid w:val="008F6D83"/>
    <w:rsid w:val="00900F45"/>
    <w:rsid w:val="00901294"/>
    <w:rsid w:val="00903B74"/>
    <w:rsid w:val="0090504F"/>
    <w:rsid w:val="00907C87"/>
    <w:rsid w:val="00911D9F"/>
    <w:rsid w:val="00914AEE"/>
    <w:rsid w:val="00915035"/>
    <w:rsid w:val="00915499"/>
    <w:rsid w:val="00916154"/>
    <w:rsid w:val="009211DE"/>
    <w:rsid w:val="00921816"/>
    <w:rsid w:val="00921CFE"/>
    <w:rsid w:val="0092356F"/>
    <w:rsid w:val="00924039"/>
    <w:rsid w:val="00927257"/>
    <w:rsid w:val="00931AF3"/>
    <w:rsid w:val="009332DF"/>
    <w:rsid w:val="009337E7"/>
    <w:rsid w:val="00934715"/>
    <w:rsid w:val="00937CE9"/>
    <w:rsid w:val="009419C8"/>
    <w:rsid w:val="00941E5F"/>
    <w:rsid w:val="0094609C"/>
    <w:rsid w:val="009461A1"/>
    <w:rsid w:val="00947574"/>
    <w:rsid w:val="00947E09"/>
    <w:rsid w:val="00951370"/>
    <w:rsid w:val="00951FEE"/>
    <w:rsid w:val="009524B5"/>
    <w:rsid w:val="00956A42"/>
    <w:rsid w:val="00957462"/>
    <w:rsid w:val="009579B5"/>
    <w:rsid w:val="00962697"/>
    <w:rsid w:val="009627FF"/>
    <w:rsid w:val="00962CF8"/>
    <w:rsid w:val="009642F1"/>
    <w:rsid w:val="00964478"/>
    <w:rsid w:val="00964D85"/>
    <w:rsid w:val="00964F8C"/>
    <w:rsid w:val="0096548E"/>
    <w:rsid w:val="00967DC3"/>
    <w:rsid w:val="00970F33"/>
    <w:rsid w:val="00971FCF"/>
    <w:rsid w:val="00972382"/>
    <w:rsid w:val="009771A0"/>
    <w:rsid w:val="009779B5"/>
    <w:rsid w:val="00977F63"/>
    <w:rsid w:val="009808DC"/>
    <w:rsid w:val="00982B46"/>
    <w:rsid w:val="0098372A"/>
    <w:rsid w:val="00984596"/>
    <w:rsid w:val="00984A52"/>
    <w:rsid w:val="00984C65"/>
    <w:rsid w:val="00986A55"/>
    <w:rsid w:val="009870B0"/>
    <w:rsid w:val="00992FE6"/>
    <w:rsid w:val="00995066"/>
    <w:rsid w:val="009952FC"/>
    <w:rsid w:val="00996650"/>
    <w:rsid w:val="009A0BC8"/>
    <w:rsid w:val="009A26D4"/>
    <w:rsid w:val="009A292C"/>
    <w:rsid w:val="009A2BB1"/>
    <w:rsid w:val="009A30A9"/>
    <w:rsid w:val="009A34EB"/>
    <w:rsid w:val="009A5F7A"/>
    <w:rsid w:val="009A64DD"/>
    <w:rsid w:val="009A6A41"/>
    <w:rsid w:val="009B060E"/>
    <w:rsid w:val="009B1774"/>
    <w:rsid w:val="009B4441"/>
    <w:rsid w:val="009B452A"/>
    <w:rsid w:val="009B5E27"/>
    <w:rsid w:val="009B5E87"/>
    <w:rsid w:val="009B5F1B"/>
    <w:rsid w:val="009B746F"/>
    <w:rsid w:val="009C0C9F"/>
    <w:rsid w:val="009C1912"/>
    <w:rsid w:val="009C22D9"/>
    <w:rsid w:val="009C349C"/>
    <w:rsid w:val="009C402E"/>
    <w:rsid w:val="009C45DF"/>
    <w:rsid w:val="009D242B"/>
    <w:rsid w:val="009D2D34"/>
    <w:rsid w:val="009D4034"/>
    <w:rsid w:val="009D40D2"/>
    <w:rsid w:val="009E042E"/>
    <w:rsid w:val="009E1339"/>
    <w:rsid w:val="009E2E1F"/>
    <w:rsid w:val="009E3C35"/>
    <w:rsid w:val="009E41D6"/>
    <w:rsid w:val="009E73BE"/>
    <w:rsid w:val="009F0E81"/>
    <w:rsid w:val="009F2778"/>
    <w:rsid w:val="009F795F"/>
    <w:rsid w:val="00A008E9"/>
    <w:rsid w:val="00A0290A"/>
    <w:rsid w:val="00A04F44"/>
    <w:rsid w:val="00A05C36"/>
    <w:rsid w:val="00A06548"/>
    <w:rsid w:val="00A11B65"/>
    <w:rsid w:val="00A13B35"/>
    <w:rsid w:val="00A21A7E"/>
    <w:rsid w:val="00A250A3"/>
    <w:rsid w:val="00A321C2"/>
    <w:rsid w:val="00A34F98"/>
    <w:rsid w:val="00A37F18"/>
    <w:rsid w:val="00A4097E"/>
    <w:rsid w:val="00A4153C"/>
    <w:rsid w:val="00A43293"/>
    <w:rsid w:val="00A44778"/>
    <w:rsid w:val="00A447EF"/>
    <w:rsid w:val="00A451B6"/>
    <w:rsid w:val="00A45ECC"/>
    <w:rsid w:val="00A46760"/>
    <w:rsid w:val="00A478EF"/>
    <w:rsid w:val="00A519FE"/>
    <w:rsid w:val="00A5235E"/>
    <w:rsid w:val="00A530B1"/>
    <w:rsid w:val="00A5470F"/>
    <w:rsid w:val="00A5477B"/>
    <w:rsid w:val="00A54828"/>
    <w:rsid w:val="00A550EB"/>
    <w:rsid w:val="00A55EA1"/>
    <w:rsid w:val="00A56372"/>
    <w:rsid w:val="00A569CD"/>
    <w:rsid w:val="00A572A3"/>
    <w:rsid w:val="00A61E59"/>
    <w:rsid w:val="00A622A1"/>
    <w:rsid w:val="00A6367A"/>
    <w:rsid w:val="00A63DBC"/>
    <w:rsid w:val="00A63E08"/>
    <w:rsid w:val="00A642D4"/>
    <w:rsid w:val="00A70FED"/>
    <w:rsid w:val="00A712BE"/>
    <w:rsid w:val="00A73A98"/>
    <w:rsid w:val="00A779B6"/>
    <w:rsid w:val="00A810BE"/>
    <w:rsid w:val="00A81640"/>
    <w:rsid w:val="00A82F5D"/>
    <w:rsid w:val="00A84FF8"/>
    <w:rsid w:val="00A85D27"/>
    <w:rsid w:val="00A90BF3"/>
    <w:rsid w:val="00A9191B"/>
    <w:rsid w:val="00A956B8"/>
    <w:rsid w:val="00A95A5B"/>
    <w:rsid w:val="00A9608B"/>
    <w:rsid w:val="00A9776F"/>
    <w:rsid w:val="00A97BE4"/>
    <w:rsid w:val="00A97C35"/>
    <w:rsid w:val="00AA06A8"/>
    <w:rsid w:val="00AA0A76"/>
    <w:rsid w:val="00AA3567"/>
    <w:rsid w:val="00AA41D1"/>
    <w:rsid w:val="00AA622D"/>
    <w:rsid w:val="00AB4864"/>
    <w:rsid w:val="00AB4DCE"/>
    <w:rsid w:val="00AB4EE8"/>
    <w:rsid w:val="00AB533A"/>
    <w:rsid w:val="00AC1D25"/>
    <w:rsid w:val="00AC22FC"/>
    <w:rsid w:val="00AC2494"/>
    <w:rsid w:val="00AC3CD1"/>
    <w:rsid w:val="00AC3D48"/>
    <w:rsid w:val="00AC5C2B"/>
    <w:rsid w:val="00AC6DE5"/>
    <w:rsid w:val="00AD0E59"/>
    <w:rsid w:val="00AD5B0E"/>
    <w:rsid w:val="00AD6B2E"/>
    <w:rsid w:val="00AD704E"/>
    <w:rsid w:val="00AD7154"/>
    <w:rsid w:val="00AD7E5F"/>
    <w:rsid w:val="00AE2F7B"/>
    <w:rsid w:val="00AE480E"/>
    <w:rsid w:val="00AE514D"/>
    <w:rsid w:val="00AE57D5"/>
    <w:rsid w:val="00AE5D2C"/>
    <w:rsid w:val="00AE6A06"/>
    <w:rsid w:val="00AF1301"/>
    <w:rsid w:val="00AF1973"/>
    <w:rsid w:val="00AF368F"/>
    <w:rsid w:val="00AF3C8E"/>
    <w:rsid w:val="00AF4948"/>
    <w:rsid w:val="00AF5A7C"/>
    <w:rsid w:val="00AF5E0E"/>
    <w:rsid w:val="00AF6061"/>
    <w:rsid w:val="00AF72AC"/>
    <w:rsid w:val="00B00D6A"/>
    <w:rsid w:val="00B01476"/>
    <w:rsid w:val="00B028E1"/>
    <w:rsid w:val="00B04308"/>
    <w:rsid w:val="00B10463"/>
    <w:rsid w:val="00B10B37"/>
    <w:rsid w:val="00B10B59"/>
    <w:rsid w:val="00B11262"/>
    <w:rsid w:val="00B13876"/>
    <w:rsid w:val="00B14425"/>
    <w:rsid w:val="00B15D73"/>
    <w:rsid w:val="00B17EAF"/>
    <w:rsid w:val="00B2035C"/>
    <w:rsid w:val="00B21E20"/>
    <w:rsid w:val="00B24290"/>
    <w:rsid w:val="00B245E4"/>
    <w:rsid w:val="00B24CA4"/>
    <w:rsid w:val="00B26558"/>
    <w:rsid w:val="00B30748"/>
    <w:rsid w:val="00B32F24"/>
    <w:rsid w:val="00B33549"/>
    <w:rsid w:val="00B338B6"/>
    <w:rsid w:val="00B342A0"/>
    <w:rsid w:val="00B34E52"/>
    <w:rsid w:val="00B35AD1"/>
    <w:rsid w:val="00B36445"/>
    <w:rsid w:val="00B37B0C"/>
    <w:rsid w:val="00B42D28"/>
    <w:rsid w:val="00B43426"/>
    <w:rsid w:val="00B46370"/>
    <w:rsid w:val="00B46BAC"/>
    <w:rsid w:val="00B46DD5"/>
    <w:rsid w:val="00B51E68"/>
    <w:rsid w:val="00B52E2C"/>
    <w:rsid w:val="00B53403"/>
    <w:rsid w:val="00B54501"/>
    <w:rsid w:val="00B557DB"/>
    <w:rsid w:val="00B55D44"/>
    <w:rsid w:val="00B61969"/>
    <w:rsid w:val="00B628B6"/>
    <w:rsid w:val="00B637CB"/>
    <w:rsid w:val="00B638AE"/>
    <w:rsid w:val="00B64170"/>
    <w:rsid w:val="00B65EF7"/>
    <w:rsid w:val="00B661E2"/>
    <w:rsid w:val="00B72D90"/>
    <w:rsid w:val="00B73AE7"/>
    <w:rsid w:val="00B75B57"/>
    <w:rsid w:val="00B76F65"/>
    <w:rsid w:val="00B770F9"/>
    <w:rsid w:val="00B774EE"/>
    <w:rsid w:val="00B802D4"/>
    <w:rsid w:val="00B8036C"/>
    <w:rsid w:val="00B8095F"/>
    <w:rsid w:val="00B83032"/>
    <w:rsid w:val="00B835C8"/>
    <w:rsid w:val="00B84224"/>
    <w:rsid w:val="00B85B3D"/>
    <w:rsid w:val="00B90219"/>
    <w:rsid w:val="00B90CD2"/>
    <w:rsid w:val="00B911E6"/>
    <w:rsid w:val="00B9288A"/>
    <w:rsid w:val="00B93E35"/>
    <w:rsid w:val="00B949AF"/>
    <w:rsid w:val="00B96EB5"/>
    <w:rsid w:val="00B96EFE"/>
    <w:rsid w:val="00BA2754"/>
    <w:rsid w:val="00BA2BD2"/>
    <w:rsid w:val="00BA5AEC"/>
    <w:rsid w:val="00BB086B"/>
    <w:rsid w:val="00BB23C8"/>
    <w:rsid w:val="00BB3EAA"/>
    <w:rsid w:val="00BB4DFC"/>
    <w:rsid w:val="00BB600B"/>
    <w:rsid w:val="00BB7008"/>
    <w:rsid w:val="00BB7AD7"/>
    <w:rsid w:val="00BC0E7A"/>
    <w:rsid w:val="00BC16D7"/>
    <w:rsid w:val="00BC1E29"/>
    <w:rsid w:val="00BC2464"/>
    <w:rsid w:val="00BC2DFD"/>
    <w:rsid w:val="00BC3B12"/>
    <w:rsid w:val="00BC6EBE"/>
    <w:rsid w:val="00BC6FAF"/>
    <w:rsid w:val="00BC76E2"/>
    <w:rsid w:val="00BD04E4"/>
    <w:rsid w:val="00BD5F89"/>
    <w:rsid w:val="00BE02A4"/>
    <w:rsid w:val="00BE27BB"/>
    <w:rsid w:val="00BE48D3"/>
    <w:rsid w:val="00BE6592"/>
    <w:rsid w:val="00BE6959"/>
    <w:rsid w:val="00BF1928"/>
    <w:rsid w:val="00BF20D4"/>
    <w:rsid w:val="00BF2E6A"/>
    <w:rsid w:val="00BF3F2F"/>
    <w:rsid w:val="00BF402E"/>
    <w:rsid w:val="00BF7463"/>
    <w:rsid w:val="00BF7D4E"/>
    <w:rsid w:val="00C05D2A"/>
    <w:rsid w:val="00C12457"/>
    <w:rsid w:val="00C135CF"/>
    <w:rsid w:val="00C15692"/>
    <w:rsid w:val="00C1745A"/>
    <w:rsid w:val="00C20D4A"/>
    <w:rsid w:val="00C22E7E"/>
    <w:rsid w:val="00C24302"/>
    <w:rsid w:val="00C30BF7"/>
    <w:rsid w:val="00C31726"/>
    <w:rsid w:val="00C34430"/>
    <w:rsid w:val="00C35D03"/>
    <w:rsid w:val="00C40802"/>
    <w:rsid w:val="00C4143C"/>
    <w:rsid w:val="00C418AA"/>
    <w:rsid w:val="00C45882"/>
    <w:rsid w:val="00C45CCE"/>
    <w:rsid w:val="00C464D0"/>
    <w:rsid w:val="00C46807"/>
    <w:rsid w:val="00C47BF6"/>
    <w:rsid w:val="00C503C8"/>
    <w:rsid w:val="00C513FC"/>
    <w:rsid w:val="00C51B35"/>
    <w:rsid w:val="00C611CE"/>
    <w:rsid w:val="00C61D47"/>
    <w:rsid w:val="00C61E0E"/>
    <w:rsid w:val="00C64F11"/>
    <w:rsid w:val="00C65422"/>
    <w:rsid w:val="00C664D7"/>
    <w:rsid w:val="00C66EA9"/>
    <w:rsid w:val="00C670B3"/>
    <w:rsid w:val="00C67EC5"/>
    <w:rsid w:val="00C70223"/>
    <w:rsid w:val="00C70952"/>
    <w:rsid w:val="00C74D36"/>
    <w:rsid w:val="00C74DAE"/>
    <w:rsid w:val="00C7516B"/>
    <w:rsid w:val="00C779C4"/>
    <w:rsid w:val="00C77CB3"/>
    <w:rsid w:val="00C811F2"/>
    <w:rsid w:val="00C813E4"/>
    <w:rsid w:val="00C83E8D"/>
    <w:rsid w:val="00C83EAF"/>
    <w:rsid w:val="00C8448F"/>
    <w:rsid w:val="00C86AD2"/>
    <w:rsid w:val="00C90C91"/>
    <w:rsid w:val="00C94425"/>
    <w:rsid w:val="00C96D58"/>
    <w:rsid w:val="00C97991"/>
    <w:rsid w:val="00CA0950"/>
    <w:rsid w:val="00CA120C"/>
    <w:rsid w:val="00CA123B"/>
    <w:rsid w:val="00CA211E"/>
    <w:rsid w:val="00CA237E"/>
    <w:rsid w:val="00CA239B"/>
    <w:rsid w:val="00CA3F73"/>
    <w:rsid w:val="00CA4F2A"/>
    <w:rsid w:val="00CA5007"/>
    <w:rsid w:val="00CA6AE0"/>
    <w:rsid w:val="00CB00FB"/>
    <w:rsid w:val="00CB0355"/>
    <w:rsid w:val="00CB0AA8"/>
    <w:rsid w:val="00CB5139"/>
    <w:rsid w:val="00CB536A"/>
    <w:rsid w:val="00CB660C"/>
    <w:rsid w:val="00CB6BD0"/>
    <w:rsid w:val="00CC066B"/>
    <w:rsid w:val="00CC07B7"/>
    <w:rsid w:val="00CC29CE"/>
    <w:rsid w:val="00CD0A5A"/>
    <w:rsid w:val="00CD0DBA"/>
    <w:rsid w:val="00CD2767"/>
    <w:rsid w:val="00CD440B"/>
    <w:rsid w:val="00CD459B"/>
    <w:rsid w:val="00CD661D"/>
    <w:rsid w:val="00CD776D"/>
    <w:rsid w:val="00CD78AE"/>
    <w:rsid w:val="00CE0149"/>
    <w:rsid w:val="00CE37AB"/>
    <w:rsid w:val="00CE4293"/>
    <w:rsid w:val="00CE4592"/>
    <w:rsid w:val="00CF3282"/>
    <w:rsid w:val="00CF44F4"/>
    <w:rsid w:val="00D00F69"/>
    <w:rsid w:val="00D0231F"/>
    <w:rsid w:val="00D029B1"/>
    <w:rsid w:val="00D10414"/>
    <w:rsid w:val="00D111E0"/>
    <w:rsid w:val="00D13D42"/>
    <w:rsid w:val="00D143C4"/>
    <w:rsid w:val="00D155E8"/>
    <w:rsid w:val="00D1660B"/>
    <w:rsid w:val="00D209DF"/>
    <w:rsid w:val="00D20C68"/>
    <w:rsid w:val="00D21C96"/>
    <w:rsid w:val="00D23080"/>
    <w:rsid w:val="00D230F9"/>
    <w:rsid w:val="00D239F1"/>
    <w:rsid w:val="00D264A2"/>
    <w:rsid w:val="00D31308"/>
    <w:rsid w:val="00D354B6"/>
    <w:rsid w:val="00D370F3"/>
    <w:rsid w:val="00D37534"/>
    <w:rsid w:val="00D41C84"/>
    <w:rsid w:val="00D421DE"/>
    <w:rsid w:val="00D45AE2"/>
    <w:rsid w:val="00D464BF"/>
    <w:rsid w:val="00D50C9F"/>
    <w:rsid w:val="00D51D40"/>
    <w:rsid w:val="00D51EE0"/>
    <w:rsid w:val="00D54AF5"/>
    <w:rsid w:val="00D566A9"/>
    <w:rsid w:val="00D64DA9"/>
    <w:rsid w:val="00D64EEF"/>
    <w:rsid w:val="00D66A6E"/>
    <w:rsid w:val="00D67403"/>
    <w:rsid w:val="00D70ECB"/>
    <w:rsid w:val="00D712F0"/>
    <w:rsid w:val="00D73FBB"/>
    <w:rsid w:val="00D7552A"/>
    <w:rsid w:val="00D775DE"/>
    <w:rsid w:val="00D80E4D"/>
    <w:rsid w:val="00D81B7E"/>
    <w:rsid w:val="00D82CF6"/>
    <w:rsid w:val="00D82F01"/>
    <w:rsid w:val="00D831FC"/>
    <w:rsid w:val="00D84A38"/>
    <w:rsid w:val="00D867D1"/>
    <w:rsid w:val="00D90947"/>
    <w:rsid w:val="00D929C0"/>
    <w:rsid w:val="00D92F2D"/>
    <w:rsid w:val="00D935C1"/>
    <w:rsid w:val="00D94A82"/>
    <w:rsid w:val="00D96B30"/>
    <w:rsid w:val="00DA2717"/>
    <w:rsid w:val="00DA2F5B"/>
    <w:rsid w:val="00DA3B91"/>
    <w:rsid w:val="00DA562A"/>
    <w:rsid w:val="00DA627D"/>
    <w:rsid w:val="00DB0B47"/>
    <w:rsid w:val="00DB248E"/>
    <w:rsid w:val="00DB3C1E"/>
    <w:rsid w:val="00DB3D6F"/>
    <w:rsid w:val="00DB3ED1"/>
    <w:rsid w:val="00DB7E10"/>
    <w:rsid w:val="00DC1511"/>
    <w:rsid w:val="00DC2640"/>
    <w:rsid w:val="00DC32B2"/>
    <w:rsid w:val="00DC4390"/>
    <w:rsid w:val="00DC45B0"/>
    <w:rsid w:val="00DC507C"/>
    <w:rsid w:val="00DC65F2"/>
    <w:rsid w:val="00DD1F8C"/>
    <w:rsid w:val="00DD2A41"/>
    <w:rsid w:val="00DD3C2A"/>
    <w:rsid w:val="00DD61B3"/>
    <w:rsid w:val="00DD69DD"/>
    <w:rsid w:val="00DD6A68"/>
    <w:rsid w:val="00DD720D"/>
    <w:rsid w:val="00DE1C59"/>
    <w:rsid w:val="00DE5677"/>
    <w:rsid w:val="00DE6D77"/>
    <w:rsid w:val="00DE7C59"/>
    <w:rsid w:val="00DF0BD7"/>
    <w:rsid w:val="00DF1E4A"/>
    <w:rsid w:val="00DF1E57"/>
    <w:rsid w:val="00DF385B"/>
    <w:rsid w:val="00DF4166"/>
    <w:rsid w:val="00DF4AB3"/>
    <w:rsid w:val="00DF60E5"/>
    <w:rsid w:val="00E00D4F"/>
    <w:rsid w:val="00E0196B"/>
    <w:rsid w:val="00E02BF7"/>
    <w:rsid w:val="00E04A38"/>
    <w:rsid w:val="00E05263"/>
    <w:rsid w:val="00E12098"/>
    <w:rsid w:val="00E12260"/>
    <w:rsid w:val="00E147F9"/>
    <w:rsid w:val="00E24011"/>
    <w:rsid w:val="00E25AD5"/>
    <w:rsid w:val="00E26A51"/>
    <w:rsid w:val="00E27125"/>
    <w:rsid w:val="00E320D8"/>
    <w:rsid w:val="00E3540C"/>
    <w:rsid w:val="00E363E9"/>
    <w:rsid w:val="00E36B73"/>
    <w:rsid w:val="00E37548"/>
    <w:rsid w:val="00E401D5"/>
    <w:rsid w:val="00E41117"/>
    <w:rsid w:val="00E41982"/>
    <w:rsid w:val="00E41D48"/>
    <w:rsid w:val="00E41FBA"/>
    <w:rsid w:val="00E4492F"/>
    <w:rsid w:val="00E45F52"/>
    <w:rsid w:val="00E476BB"/>
    <w:rsid w:val="00E50442"/>
    <w:rsid w:val="00E50AE1"/>
    <w:rsid w:val="00E52657"/>
    <w:rsid w:val="00E52708"/>
    <w:rsid w:val="00E52D79"/>
    <w:rsid w:val="00E53100"/>
    <w:rsid w:val="00E5746B"/>
    <w:rsid w:val="00E57B17"/>
    <w:rsid w:val="00E57D42"/>
    <w:rsid w:val="00E60063"/>
    <w:rsid w:val="00E60F2B"/>
    <w:rsid w:val="00E6100D"/>
    <w:rsid w:val="00E6317E"/>
    <w:rsid w:val="00E634BC"/>
    <w:rsid w:val="00E64131"/>
    <w:rsid w:val="00E64FD8"/>
    <w:rsid w:val="00E67395"/>
    <w:rsid w:val="00E6788C"/>
    <w:rsid w:val="00E6791F"/>
    <w:rsid w:val="00E701BC"/>
    <w:rsid w:val="00E7258A"/>
    <w:rsid w:val="00E73601"/>
    <w:rsid w:val="00E74700"/>
    <w:rsid w:val="00E74F41"/>
    <w:rsid w:val="00E76EA0"/>
    <w:rsid w:val="00E77912"/>
    <w:rsid w:val="00E81955"/>
    <w:rsid w:val="00E8375A"/>
    <w:rsid w:val="00E86095"/>
    <w:rsid w:val="00E87436"/>
    <w:rsid w:val="00E90343"/>
    <w:rsid w:val="00E92F29"/>
    <w:rsid w:val="00E940B3"/>
    <w:rsid w:val="00EA1659"/>
    <w:rsid w:val="00EA199A"/>
    <w:rsid w:val="00EA2AA0"/>
    <w:rsid w:val="00EA4458"/>
    <w:rsid w:val="00EA4B1C"/>
    <w:rsid w:val="00EA6583"/>
    <w:rsid w:val="00EA7DDF"/>
    <w:rsid w:val="00EB16D0"/>
    <w:rsid w:val="00EB296A"/>
    <w:rsid w:val="00EB40A1"/>
    <w:rsid w:val="00EB415C"/>
    <w:rsid w:val="00EB4B08"/>
    <w:rsid w:val="00EB5D57"/>
    <w:rsid w:val="00EC1205"/>
    <w:rsid w:val="00EC2574"/>
    <w:rsid w:val="00EC2F13"/>
    <w:rsid w:val="00EC4A34"/>
    <w:rsid w:val="00EC5B2C"/>
    <w:rsid w:val="00EC6302"/>
    <w:rsid w:val="00EC698C"/>
    <w:rsid w:val="00ED0ABA"/>
    <w:rsid w:val="00ED1012"/>
    <w:rsid w:val="00ED1E58"/>
    <w:rsid w:val="00ED3462"/>
    <w:rsid w:val="00ED61F5"/>
    <w:rsid w:val="00ED7B65"/>
    <w:rsid w:val="00EE083A"/>
    <w:rsid w:val="00EE0FC7"/>
    <w:rsid w:val="00EE101E"/>
    <w:rsid w:val="00EE1197"/>
    <w:rsid w:val="00EE220D"/>
    <w:rsid w:val="00EE22EE"/>
    <w:rsid w:val="00EE2983"/>
    <w:rsid w:val="00EE393B"/>
    <w:rsid w:val="00EE3A1B"/>
    <w:rsid w:val="00EE441B"/>
    <w:rsid w:val="00EE62AB"/>
    <w:rsid w:val="00EE641F"/>
    <w:rsid w:val="00EE6FBF"/>
    <w:rsid w:val="00EF4106"/>
    <w:rsid w:val="00EF746D"/>
    <w:rsid w:val="00F00371"/>
    <w:rsid w:val="00F062B6"/>
    <w:rsid w:val="00F108B1"/>
    <w:rsid w:val="00F10A30"/>
    <w:rsid w:val="00F11552"/>
    <w:rsid w:val="00F12287"/>
    <w:rsid w:val="00F12EEF"/>
    <w:rsid w:val="00F13EF0"/>
    <w:rsid w:val="00F146D9"/>
    <w:rsid w:val="00F148C2"/>
    <w:rsid w:val="00F151E6"/>
    <w:rsid w:val="00F176AD"/>
    <w:rsid w:val="00F20499"/>
    <w:rsid w:val="00F2078C"/>
    <w:rsid w:val="00F21EDF"/>
    <w:rsid w:val="00F232CE"/>
    <w:rsid w:val="00F26018"/>
    <w:rsid w:val="00F26A11"/>
    <w:rsid w:val="00F27A29"/>
    <w:rsid w:val="00F30465"/>
    <w:rsid w:val="00F30D11"/>
    <w:rsid w:val="00F31320"/>
    <w:rsid w:val="00F31AAE"/>
    <w:rsid w:val="00F323A0"/>
    <w:rsid w:val="00F34B2A"/>
    <w:rsid w:val="00F362D0"/>
    <w:rsid w:val="00F42005"/>
    <w:rsid w:val="00F438AD"/>
    <w:rsid w:val="00F44D5B"/>
    <w:rsid w:val="00F47E33"/>
    <w:rsid w:val="00F50C7E"/>
    <w:rsid w:val="00F51725"/>
    <w:rsid w:val="00F53327"/>
    <w:rsid w:val="00F53768"/>
    <w:rsid w:val="00F547CF"/>
    <w:rsid w:val="00F556A9"/>
    <w:rsid w:val="00F55E18"/>
    <w:rsid w:val="00F57419"/>
    <w:rsid w:val="00F575EA"/>
    <w:rsid w:val="00F57C89"/>
    <w:rsid w:val="00F60652"/>
    <w:rsid w:val="00F62DB2"/>
    <w:rsid w:val="00F63017"/>
    <w:rsid w:val="00F63A02"/>
    <w:rsid w:val="00F63C86"/>
    <w:rsid w:val="00F63FF7"/>
    <w:rsid w:val="00F66A02"/>
    <w:rsid w:val="00F67070"/>
    <w:rsid w:val="00F75437"/>
    <w:rsid w:val="00F76D0E"/>
    <w:rsid w:val="00F76FE9"/>
    <w:rsid w:val="00F81C84"/>
    <w:rsid w:val="00F82DD4"/>
    <w:rsid w:val="00F83878"/>
    <w:rsid w:val="00F84A3F"/>
    <w:rsid w:val="00F871DC"/>
    <w:rsid w:val="00F90302"/>
    <w:rsid w:val="00F914D2"/>
    <w:rsid w:val="00F92E0B"/>
    <w:rsid w:val="00F9309B"/>
    <w:rsid w:val="00F93614"/>
    <w:rsid w:val="00F95779"/>
    <w:rsid w:val="00FA2601"/>
    <w:rsid w:val="00FA59C7"/>
    <w:rsid w:val="00FB0D88"/>
    <w:rsid w:val="00FB1A07"/>
    <w:rsid w:val="00FB2B45"/>
    <w:rsid w:val="00FB7472"/>
    <w:rsid w:val="00FC1976"/>
    <w:rsid w:val="00FC223A"/>
    <w:rsid w:val="00FC28E2"/>
    <w:rsid w:val="00FC3E1B"/>
    <w:rsid w:val="00FC65DD"/>
    <w:rsid w:val="00FC764A"/>
    <w:rsid w:val="00FD4389"/>
    <w:rsid w:val="00FD4897"/>
    <w:rsid w:val="00FD4BD2"/>
    <w:rsid w:val="00FD6800"/>
    <w:rsid w:val="00FD6893"/>
    <w:rsid w:val="00FD7268"/>
    <w:rsid w:val="00FE016B"/>
    <w:rsid w:val="00FE1226"/>
    <w:rsid w:val="00FE1745"/>
    <w:rsid w:val="00FE17DE"/>
    <w:rsid w:val="00FE489D"/>
    <w:rsid w:val="00FE6549"/>
    <w:rsid w:val="00FF051E"/>
    <w:rsid w:val="00FF1511"/>
    <w:rsid w:val="00FF1623"/>
    <w:rsid w:val="00FF1A75"/>
    <w:rsid w:val="00FF40D9"/>
    <w:rsid w:val="00FF4A60"/>
    <w:rsid w:val="00FF50F8"/>
    <w:rsid w:val="00FF6086"/>
    <w:rsid w:val="02036A76"/>
    <w:rsid w:val="0263184D"/>
    <w:rsid w:val="03043044"/>
    <w:rsid w:val="04710F90"/>
    <w:rsid w:val="06032E51"/>
    <w:rsid w:val="067032BA"/>
    <w:rsid w:val="078A19BE"/>
    <w:rsid w:val="078D1C71"/>
    <w:rsid w:val="089718A6"/>
    <w:rsid w:val="090B70D9"/>
    <w:rsid w:val="09834813"/>
    <w:rsid w:val="0BEF192C"/>
    <w:rsid w:val="0C466521"/>
    <w:rsid w:val="0D0A1605"/>
    <w:rsid w:val="0D9F762C"/>
    <w:rsid w:val="0E5F4244"/>
    <w:rsid w:val="10376C1E"/>
    <w:rsid w:val="10EB49BB"/>
    <w:rsid w:val="11D479AC"/>
    <w:rsid w:val="135C4DF5"/>
    <w:rsid w:val="13BE3B38"/>
    <w:rsid w:val="13DD1980"/>
    <w:rsid w:val="162D296C"/>
    <w:rsid w:val="17CD079D"/>
    <w:rsid w:val="17D542C1"/>
    <w:rsid w:val="188735FD"/>
    <w:rsid w:val="1A243971"/>
    <w:rsid w:val="1A4344CA"/>
    <w:rsid w:val="1A474F92"/>
    <w:rsid w:val="1D01302D"/>
    <w:rsid w:val="1F237B5F"/>
    <w:rsid w:val="1F53507C"/>
    <w:rsid w:val="1F6441EE"/>
    <w:rsid w:val="1F6B4525"/>
    <w:rsid w:val="204F7F08"/>
    <w:rsid w:val="21216884"/>
    <w:rsid w:val="22544324"/>
    <w:rsid w:val="22B11C96"/>
    <w:rsid w:val="23337719"/>
    <w:rsid w:val="23DA68F6"/>
    <w:rsid w:val="240B2A90"/>
    <w:rsid w:val="24A45746"/>
    <w:rsid w:val="25D372EE"/>
    <w:rsid w:val="27776C9D"/>
    <w:rsid w:val="277A076D"/>
    <w:rsid w:val="277F3AB1"/>
    <w:rsid w:val="28B26ACD"/>
    <w:rsid w:val="2B2D02F9"/>
    <w:rsid w:val="2C716959"/>
    <w:rsid w:val="2CE22967"/>
    <w:rsid w:val="2CFE1277"/>
    <w:rsid w:val="2F414587"/>
    <w:rsid w:val="2F74578F"/>
    <w:rsid w:val="2FD30DC5"/>
    <w:rsid w:val="300F7969"/>
    <w:rsid w:val="31A223F6"/>
    <w:rsid w:val="32706662"/>
    <w:rsid w:val="32E42A54"/>
    <w:rsid w:val="343666E7"/>
    <w:rsid w:val="346A21F4"/>
    <w:rsid w:val="346F726D"/>
    <w:rsid w:val="35193F7D"/>
    <w:rsid w:val="360E60B0"/>
    <w:rsid w:val="37D85071"/>
    <w:rsid w:val="38160308"/>
    <w:rsid w:val="38912AC0"/>
    <w:rsid w:val="38D216D9"/>
    <w:rsid w:val="38FC74B1"/>
    <w:rsid w:val="3A5B76EF"/>
    <w:rsid w:val="3B9B0D41"/>
    <w:rsid w:val="3B9E76C1"/>
    <w:rsid w:val="3DC621A0"/>
    <w:rsid w:val="3E697F31"/>
    <w:rsid w:val="3E857907"/>
    <w:rsid w:val="3EC254F9"/>
    <w:rsid w:val="40296AF8"/>
    <w:rsid w:val="40C4784F"/>
    <w:rsid w:val="4196424D"/>
    <w:rsid w:val="440664DF"/>
    <w:rsid w:val="44F00B4A"/>
    <w:rsid w:val="44F90029"/>
    <w:rsid w:val="455D284D"/>
    <w:rsid w:val="45D32171"/>
    <w:rsid w:val="46162193"/>
    <w:rsid w:val="467873FB"/>
    <w:rsid w:val="478F08A8"/>
    <w:rsid w:val="47A4023F"/>
    <w:rsid w:val="489D6267"/>
    <w:rsid w:val="4B0465C3"/>
    <w:rsid w:val="4BAF3D35"/>
    <w:rsid w:val="4E477F12"/>
    <w:rsid w:val="4F45114D"/>
    <w:rsid w:val="4FDB1EE8"/>
    <w:rsid w:val="4FE46C32"/>
    <w:rsid w:val="521D17EC"/>
    <w:rsid w:val="52AB362D"/>
    <w:rsid w:val="53F166A2"/>
    <w:rsid w:val="54654E22"/>
    <w:rsid w:val="54A2071D"/>
    <w:rsid w:val="555675C0"/>
    <w:rsid w:val="55D76C71"/>
    <w:rsid w:val="57B22BF3"/>
    <w:rsid w:val="58AA742F"/>
    <w:rsid w:val="58D151D0"/>
    <w:rsid w:val="5A002D96"/>
    <w:rsid w:val="5ADD1E31"/>
    <w:rsid w:val="5B312972"/>
    <w:rsid w:val="5C2D57F1"/>
    <w:rsid w:val="5D176E84"/>
    <w:rsid w:val="5D2652AB"/>
    <w:rsid w:val="5D573A29"/>
    <w:rsid w:val="5FD66117"/>
    <w:rsid w:val="60EE5037"/>
    <w:rsid w:val="615F0CE6"/>
    <w:rsid w:val="61E65ECC"/>
    <w:rsid w:val="624D71A8"/>
    <w:rsid w:val="629B626F"/>
    <w:rsid w:val="64992AE5"/>
    <w:rsid w:val="66AB5F65"/>
    <w:rsid w:val="67FE0B27"/>
    <w:rsid w:val="6899376F"/>
    <w:rsid w:val="690C36D4"/>
    <w:rsid w:val="691E2DA4"/>
    <w:rsid w:val="692D1E6D"/>
    <w:rsid w:val="6A6C5DA8"/>
    <w:rsid w:val="6B7E1CF9"/>
    <w:rsid w:val="6C4471A4"/>
    <w:rsid w:val="6C453724"/>
    <w:rsid w:val="6C9C4785"/>
    <w:rsid w:val="6E717A3F"/>
    <w:rsid w:val="6FAA3DE3"/>
    <w:rsid w:val="6FFC4A31"/>
    <w:rsid w:val="700E36D8"/>
    <w:rsid w:val="713228D7"/>
    <w:rsid w:val="71564C17"/>
    <w:rsid w:val="72754BE6"/>
    <w:rsid w:val="735400AF"/>
    <w:rsid w:val="73892F43"/>
    <w:rsid w:val="7396481D"/>
    <w:rsid w:val="74B80928"/>
    <w:rsid w:val="74E314C0"/>
    <w:rsid w:val="7677232D"/>
    <w:rsid w:val="774433DF"/>
    <w:rsid w:val="776807BD"/>
    <w:rsid w:val="776F5411"/>
    <w:rsid w:val="7834097B"/>
    <w:rsid w:val="7A571F47"/>
    <w:rsid w:val="7C5F5CE0"/>
    <w:rsid w:val="7C9B0A3B"/>
    <w:rsid w:val="7CAA7279"/>
    <w:rsid w:val="7D582ED6"/>
    <w:rsid w:val="7E8E72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qFormat/>
    <w:uiPriority w:val="99"/>
    <w:pPr>
      <w:keepNext/>
      <w:keepLines/>
      <w:spacing w:before="260" w:after="260" w:line="416" w:lineRule="auto"/>
      <w:outlineLvl w:val="2"/>
    </w:pPr>
    <w:rPr>
      <w:rFonts w:ascii="Times New Roman" w:hAnsi="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1260"/>
    </w:pPr>
  </w:style>
  <w:style w:type="paragraph" w:styleId="6">
    <w:name w:val="Normal Indent"/>
    <w:basedOn w:val="1"/>
    <w:link w:val="48"/>
    <w:semiHidden/>
    <w:qFormat/>
    <w:uiPriority w:val="99"/>
    <w:pPr>
      <w:spacing w:line="360" w:lineRule="auto"/>
      <w:ind w:firstLine="200" w:firstLineChars="200"/>
    </w:pPr>
    <w:rPr>
      <w:kern w:val="0"/>
      <w:sz w:val="24"/>
      <w:szCs w:val="24"/>
    </w:rPr>
  </w:style>
  <w:style w:type="paragraph" w:styleId="7">
    <w:name w:val="caption"/>
    <w:basedOn w:val="1"/>
    <w:next w:val="1"/>
    <w:qFormat/>
    <w:uiPriority w:val="99"/>
    <w:rPr>
      <w:rFonts w:ascii="Cambria" w:hAnsi="Cambria" w:eastAsia="黑体"/>
      <w:sz w:val="20"/>
      <w:szCs w:val="20"/>
    </w:rPr>
  </w:style>
  <w:style w:type="paragraph" w:styleId="8">
    <w:name w:val="Document Map"/>
    <w:basedOn w:val="1"/>
    <w:link w:val="39"/>
    <w:semiHidden/>
    <w:qFormat/>
    <w:uiPriority w:val="99"/>
    <w:rPr>
      <w:rFonts w:ascii="宋体"/>
      <w:sz w:val="18"/>
      <w:szCs w:val="18"/>
    </w:rPr>
  </w:style>
  <w:style w:type="paragraph" w:styleId="9">
    <w:name w:val="annotation text"/>
    <w:basedOn w:val="1"/>
    <w:link w:val="37"/>
    <w:qFormat/>
    <w:uiPriority w:val="99"/>
    <w:pPr>
      <w:widowControl/>
      <w:jc w:val="left"/>
    </w:pPr>
    <w:rPr>
      <w:rFonts w:ascii="Times New Roman" w:hAnsi="Times New Roman"/>
      <w:kern w:val="0"/>
      <w:szCs w:val="21"/>
    </w:rPr>
  </w:style>
  <w:style w:type="paragraph" w:styleId="10">
    <w:name w:val="Body Text"/>
    <w:basedOn w:val="1"/>
    <w:link w:val="40"/>
    <w:qFormat/>
    <w:uiPriority w:val="99"/>
    <w:pPr>
      <w:widowControl/>
      <w:overflowPunct w:val="0"/>
      <w:autoSpaceDE w:val="0"/>
      <w:autoSpaceDN w:val="0"/>
      <w:adjustRightInd w:val="0"/>
      <w:spacing w:before="120" w:after="120" w:line="360" w:lineRule="auto"/>
      <w:jc w:val="left"/>
      <w:textAlignment w:val="baseline"/>
    </w:pPr>
    <w:rPr>
      <w:rFonts w:ascii="Times New Roman" w:hAnsi="Times New Roman" w:eastAsia="PMingLiU"/>
      <w:kern w:val="0"/>
      <w:sz w:val="28"/>
      <w:szCs w:val="20"/>
      <w:lang w:eastAsia="zh-TW"/>
    </w:rPr>
  </w:style>
  <w:style w:type="paragraph" w:styleId="11">
    <w:name w:val="toc 5"/>
    <w:basedOn w:val="1"/>
    <w:next w:val="1"/>
    <w:qFormat/>
    <w:uiPriority w:val="99"/>
    <w:pPr>
      <w:ind w:left="840"/>
    </w:pPr>
  </w:style>
  <w:style w:type="paragraph" w:styleId="12">
    <w:name w:val="toc 3"/>
    <w:basedOn w:val="1"/>
    <w:next w:val="1"/>
    <w:qFormat/>
    <w:uiPriority w:val="99"/>
    <w:pPr>
      <w:tabs>
        <w:tab w:val="right" w:leader="dot" w:pos="8296"/>
      </w:tabs>
      <w:ind w:left="840" w:leftChars="400"/>
    </w:pPr>
    <w:rPr>
      <w:rFonts w:ascii="宋体" w:hAnsi="宋体"/>
      <w:sz w:val="24"/>
      <w:szCs w:val="32"/>
    </w:rPr>
  </w:style>
  <w:style w:type="paragraph" w:styleId="13">
    <w:name w:val="toc 8"/>
    <w:basedOn w:val="1"/>
    <w:next w:val="1"/>
    <w:qFormat/>
    <w:uiPriority w:val="99"/>
    <w:pPr>
      <w:ind w:left="1470"/>
    </w:pPr>
  </w:style>
  <w:style w:type="paragraph" w:styleId="14">
    <w:name w:val="Balloon Text"/>
    <w:basedOn w:val="1"/>
    <w:link w:val="41"/>
    <w:semiHidden/>
    <w:qFormat/>
    <w:uiPriority w:val="99"/>
    <w:rPr>
      <w:sz w:val="18"/>
      <w:szCs w:val="18"/>
    </w:rPr>
  </w:style>
  <w:style w:type="paragraph" w:styleId="15">
    <w:name w:val="footer"/>
    <w:basedOn w:val="1"/>
    <w:link w:val="42"/>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296"/>
      </w:tabs>
    </w:pPr>
    <w:rPr>
      <w:rFonts w:ascii="仿宋" w:hAnsi="仿宋" w:eastAsia="仿宋"/>
      <w:sz w:val="28"/>
    </w:rPr>
  </w:style>
  <w:style w:type="paragraph" w:styleId="18">
    <w:name w:val="toc 4"/>
    <w:basedOn w:val="1"/>
    <w:next w:val="1"/>
    <w:qFormat/>
    <w:uiPriority w:val="99"/>
    <w:pPr>
      <w:ind w:left="630"/>
    </w:pPr>
  </w:style>
  <w:style w:type="paragraph" w:styleId="19">
    <w:name w:val="footnote text"/>
    <w:basedOn w:val="1"/>
    <w:link w:val="44"/>
    <w:qFormat/>
    <w:uiPriority w:val="99"/>
    <w:pPr>
      <w:snapToGrid w:val="0"/>
      <w:jc w:val="left"/>
    </w:pPr>
    <w:rPr>
      <w:rFonts w:ascii="Times New Roman" w:hAnsi="Times New Roman"/>
      <w:sz w:val="18"/>
      <w:szCs w:val="18"/>
    </w:rPr>
  </w:style>
  <w:style w:type="paragraph" w:styleId="20">
    <w:name w:val="toc 6"/>
    <w:basedOn w:val="1"/>
    <w:next w:val="1"/>
    <w:qFormat/>
    <w:uiPriority w:val="99"/>
    <w:pPr>
      <w:ind w:left="1050"/>
    </w:pPr>
  </w:style>
  <w:style w:type="paragraph" w:styleId="21">
    <w:name w:val="table of figures"/>
    <w:basedOn w:val="1"/>
    <w:next w:val="1"/>
    <w:semiHidden/>
    <w:qFormat/>
    <w:uiPriority w:val="99"/>
    <w:pPr>
      <w:ind w:left="200" w:leftChars="200" w:hanging="200" w:hangingChars="200"/>
    </w:pPr>
  </w:style>
  <w:style w:type="paragraph" w:styleId="22">
    <w:name w:val="toc 2"/>
    <w:basedOn w:val="1"/>
    <w:next w:val="1"/>
    <w:qFormat/>
    <w:uiPriority w:val="39"/>
    <w:pPr>
      <w:tabs>
        <w:tab w:val="right" w:leader="dot" w:pos="8296"/>
      </w:tabs>
      <w:spacing w:line="360" w:lineRule="auto"/>
      <w:ind w:firstLine="661" w:firstLineChars="236"/>
    </w:pPr>
    <w:rPr>
      <w:rFonts w:ascii="仿宋_GB2312" w:hAnsi="仿宋" w:eastAsia="仿宋_GB2312"/>
      <w:sz w:val="28"/>
      <w:szCs w:val="28"/>
    </w:rPr>
  </w:style>
  <w:style w:type="paragraph" w:styleId="23">
    <w:name w:val="toc 9"/>
    <w:basedOn w:val="1"/>
    <w:next w:val="1"/>
    <w:qFormat/>
    <w:uiPriority w:val="99"/>
    <w:pPr>
      <w:ind w:left="1680"/>
    </w:pPr>
  </w:style>
  <w:style w:type="paragraph" w:styleId="24">
    <w:name w:val="Body Text 2"/>
    <w:basedOn w:val="1"/>
    <w:link w:val="45"/>
    <w:semiHidden/>
    <w:qFormat/>
    <w:uiPriority w:val="99"/>
    <w:pPr>
      <w:spacing w:after="120" w:line="480" w:lineRule="auto"/>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9"/>
    <w:next w:val="9"/>
    <w:link w:val="38"/>
    <w:semiHidden/>
    <w:qFormat/>
    <w:uiPriority w:val="99"/>
    <w:pPr>
      <w:widowControl w:val="0"/>
    </w:pPr>
    <w:rPr>
      <w:rFonts w:ascii="Calibri" w:hAnsi="Calibri"/>
      <w:b/>
      <w:bCs/>
      <w:kern w:val="2"/>
      <w:szCs w:val="22"/>
    </w:rPr>
  </w:style>
  <w:style w:type="table" w:styleId="28">
    <w:name w:val="Table Grid"/>
    <w:basedOn w:val="27"/>
    <w:qFormat/>
    <w:uiPriority w:val="99"/>
    <w:pPr>
      <w:jc w:val="both"/>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rFonts w:cs="Times New Roman"/>
      <w:b/>
      <w:bCs/>
    </w:rPr>
  </w:style>
  <w:style w:type="character" w:styleId="31">
    <w:name w:val="Hyperlink"/>
    <w:basedOn w:val="29"/>
    <w:qFormat/>
    <w:uiPriority w:val="99"/>
    <w:rPr>
      <w:rFonts w:cs="Times New Roman"/>
      <w:color w:val="0563C1"/>
      <w:u w:val="single"/>
    </w:rPr>
  </w:style>
  <w:style w:type="character" w:styleId="32">
    <w:name w:val="annotation reference"/>
    <w:basedOn w:val="29"/>
    <w:qFormat/>
    <w:uiPriority w:val="99"/>
    <w:rPr>
      <w:rFonts w:cs="Times New Roman"/>
      <w:sz w:val="21"/>
    </w:rPr>
  </w:style>
  <w:style w:type="character" w:styleId="33">
    <w:name w:val="footnote reference"/>
    <w:basedOn w:val="29"/>
    <w:qFormat/>
    <w:uiPriority w:val="99"/>
    <w:rPr>
      <w:rFonts w:cs="Times New Roman"/>
      <w:vertAlign w:val="superscript"/>
    </w:rPr>
  </w:style>
  <w:style w:type="character" w:customStyle="1" w:styleId="34">
    <w:name w:val="标题 1 字符"/>
    <w:basedOn w:val="29"/>
    <w:link w:val="2"/>
    <w:qFormat/>
    <w:locked/>
    <w:uiPriority w:val="99"/>
    <w:rPr>
      <w:rFonts w:ascii="Calibri" w:hAnsi="Calibri" w:eastAsia="宋体" w:cs="Times New Roman"/>
      <w:b/>
      <w:bCs/>
      <w:kern w:val="44"/>
      <w:sz w:val="44"/>
      <w:szCs w:val="44"/>
    </w:rPr>
  </w:style>
  <w:style w:type="character" w:customStyle="1" w:styleId="35">
    <w:name w:val="标题 2 字符"/>
    <w:basedOn w:val="29"/>
    <w:link w:val="3"/>
    <w:qFormat/>
    <w:locked/>
    <w:uiPriority w:val="99"/>
    <w:rPr>
      <w:rFonts w:ascii="Cambria" w:hAnsi="Cambria" w:eastAsia="宋体" w:cs="Times New Roman"/>
      <w:b/>
      <w:bCs/>
      <w:kern w:val="2"/>
      <w:sz w:val="32"/>
      <w:szCs w:val="32"/>
    </w:rPr>
  </w:style>
  <w:style w:type="character" w:customStyle="1" w:styleId="36">
    <w:name w:val="标题 3 字符"/>
    <w:basedOn w:val="29"/>
    <w:link w:val="4"/>
    <w:semiHidden/>
    <w:qFormat/>
    <w:locked/>
    <w:uiPriority w:val="99"/>
    <w:rPr>
      <w:rFonts w:ascii="Times New Roman" w:hAnsi="Times New Roman" w:cs="Times New Roman"/>
      <w:b/>
      <w:bCs/>
      <w:kern w:val="2"/>
      <w:sz w:val="32"/>
      <w:szCs w:val="32"/>
    </w:rPr>
  </w:style>
  <w:style w:type="character" w:customStyle="1" w:styleId="37">
    <w:name w:val="批注文字 字符"/>
    <w:basedOn w:val="29"/>
    <w:link w:val="9"/>
    <w:qFormat/>
    <w:locked/>
    <w:uiPriority w:val="99"/>
    <w:rPr>
      <w:rFonts w:ascii="Times New Roman" w:hAnsi="Times New Roman" w:cs="Times New Roman"/>
      <w:sz w:val="21"/>
      <w:szCs w:val="21"/>
    </w:rPr>
  </w:style>
  <w:style w:type="character" w:customStyle="1" w:styleId="38">
    <w:name w:val="批注主题 字符"/>
    <w:basedOn w:val="37"/>
    <w:link w:val="26"/>
    <w:semiHidden/>
    <w:qFormat/>
    <w:locked/>
    <w:uiPriority w:val="99"/>
    <w:rPr>
      <w:rFonts w:ascii="Times New Roman" w:hAnsi="Times New Roman" w:cs="Times New Roman"/>
      <w:b/>
      <w:bCs/>
      <w:kern w:val="2"/>
      <w:sz w:val="22"/>
      <w:szCs w:val="22"/>
    </w:rPr>
  </w:style>
  <w:style w:type="character" w:customStyle="1" w:styleId="39">
    <w:name w:val="文档结构图 字符"/>
    <w:basedOn w:val="29"/>
    <w:link w:val="8"/>
    <w:semiHidden/>
    <w:qFormat/>
    <w:locked/>
    <w:uiPriority w:val="99"/>
    <w:rPr>
      <w:rFonts w:ascii="宋体" w:cs="Times New Roman"/>
      <w:kern w:val="2"/>
      <w:sz w:val="18"/>
      <w:szCs w:val="18"/>
    </w:rPr>
  </w:style>
  <w:style w:type="character" w:customStyle="1" w:styleId="40">
    <w:name w:val="正文文本 字符"/>
    <w:basedOn w:val="29"/>
    <w:link w:val="10"/>
    <w:qFormat/>
    <w:locked/>
    <w:uiPriority w:val="99"/>
    <w:rPr>
      <w:rFonts w:ascii="Times New Roman" w:hAnsi="Times New Roman" w:eastAsia="PMingLiU" w:cs="Times New Roman"/>
      <w:sz w:val="28"/>
      <w:lang w:eastAsia="zh-TW"/>
    </w:rPr>
  </w:style>
  <w:style w:type="character" w:customStyle="1" w:styleId="41">
    <w:name w:val="批注框文本 字符"/>
    <w:basedOn w:val="29"/>
    <w:link w:val="14"/>
    <w:semiHidden/>
    <w:qFormat/>
    <w:locked/>
    <w:uiPriority w:val="99"/>
    <w:rPr>
      <w:rFonts w:cs="Times New Roman"/>
      <w:kern w:val="2"/>
      <w:sz w:val="18"/>
    </w:rPr>
  </w:style>
  <w:style w:type="character" w:customStyle="1" w:styleId="42">
    <w:name w:val="页脚 字符"/>
    <w:basedOn w:val="29"/>
    <w:link w:val="15"/>
    <w:qFormat/>
    <w:locked/>
    <w:uiPriority w:val="99"/>
    <w:rPr>
      <w:rFonts w:cs="Times New Roman"/>
      <w:kern w:val="2"/>
      <w:sz w:val="18"/>
    </w:rPr>
  </w:style>
  <w:style w:type="character" w:customStyle="1" w:styleId="43">
    <w:name w:val="页眉 字符"/>
    <w:basedOn w:val="29"/>
    <w:link w:val="16"/>
    <w:qFormat/>
    <w:locked/>
    <w:uiPriority w:val="99"/>
    <w:rPr>
      <w:rFonts w:cs="Times New Roman"/>
      <w:kern w:val="2"/>
      <w:sz w:val="18"/>
    </w:rPr>
  </w:style>
  <w:style w:type="character" w:customStyle="1" w:styleId="44">
    <w:name w:val="脚注文本 字符"/>
    <w:basedOn w:val="29"/>
    <w:link w:val="19"/>
    <w:qFormat/>
    <w:locked/>
    <w:uiPriority w:val="99"/>
    <w:rPr>
      <w:rFonts w:ascii="Times New Roman" w:hAnsi="Times New Roman" w:cs="Times New Roman"/>
      <w:kern w:val="2"/>
      <w:sz w:val="18"/>
      <w:szCs w:val="18"/>
    </w:rPr>
  </w:style>
  <w:style w:type="character" w:customStyle="1" w:styleId="45">
    <w:name w:val="正文文本 2 字符"/>
    <w:basedOn w:val="29"/>
    <w:link w:val="24"/>
    <w:semiHidden/>
    <w:qFormat/>
    <w:locked/>
    <w:uiPriority w:val="99"/>
    <w:rPr>
      <w:rFonts w:cs="Times New Roman"/>
      <w:kern w:val="2"/>
      <w:sz w:val="22"/>
      <w:szCs w:val="22"/>
    </w:rPr>
  </w:style>
  <w:style w:type="paragraph" w:styleId="46">
    <w:name w:val="List Paragraph"/>
    <w:basedOn w:val="1"/>
    <w:link w:val="47"/>
    <w:qFormat/>
    <w:uiPriority w:val="99"/>
    <w:pPr>
      <w:widowControl/>
      <w:spacing w:before="100" w:beforeAutospacing="1" w:after="100" w:afterAutospacing="1"/>
      <w:ind w:firstLine="420" w:firstLineChars="200"/>
      <w:jc w:val="left"/>
    </w:pPr>
    <w:rPr>
      <w:rFonts w:ascii="宋体" w:hAnsi="宋体" w:cs="宋体"/>
      <w:kern w:val="0"/>
      <w:sz w:val="24"/>
      <w:szCs w:val="24"/>
    </w:rPr>
  </w:style>
  <w:style w:type="character" w:customStyle="1" w:styleId="47">
    <w:name w:val="列表段落 字符"/>
    <w:basedOn w:val="29"/>
    <w:link w:val="46"/>
    <w:qFormat/>
    <w:locked/>
    <w:uiPriority w:val="99"/>
    <w:rPr>
      <w:rFonts w:ascii="宋体" w:eastAsia="宋体" w:cs="宋体"/>
      <w:sz w:val="24"/>
      <w:szCs w:val="24"/>
    </w:rPr>
  </w:style>
  <w:style w:type="character" w:customStyle="1" w:styleId="48">
    <w:name w:val="正文缩进 字符"/>
    <w:basedOn w:val="29"/>
    <w:link w:val="6"/>
    <w:semiHidden/>
    <w:qFormat/>
    <w:locked/>
    <w:uiPriority w:val="99"/>
    <w:rPr>
      <w:rFonts w:cs="Times New Roman"/>
      <w:sz w:val="24"/>
      <w:szCs w:val="24"/>
    </w:rPr>
  </w:style>
  <w:style w:type="character" w:customStyle="1" w:styleId="49">
    <w:name w:val="apple-converted-space"/>
    <w:basedOn w:val="29"/>
    <w:qFormat/>
    <w:uiPriority w:val="99"/>
    <w:rPr>
      <w:rFonts w:cs="Times New Roman"/>
    </w:rPr>
  </w:style>
  <w:style w:type="paragraph" w:customStyle="1" w:styleId="50">
    <w:name w:val="Default"/>
    <w:qFormat/>
    <w:uiPriority w:val="99"/>
    <w:pPr>
      <w:widowControl w:val="0"/>
      <w:autoSpaceDE w:val="0"/>
      <w:autoSpaceDN w:val="0"/>
      <w:adjustRightInd w:val="0"/>
      <w:spacing w:after="160" w:line="259" w:lineRule="auto"/>
    </w:pPr>
    <w:rPr>
      <w:rFonts w:ascii="宋体" w:hAnsi="Calibri" w:eastAsia="宋体" w:cs="宋体"/>
      <w:color w:val="000000"/>
      <w:kern w:val="0"/>
      <w:sz w:val="24"/>
      <w:szCs w:val="24"/>
      <w:lang w:val="en-US" w:eastAsia="zh-CN" w:bidi="ar-SA"/>
    </w:rPr>
  </w:style>
  <w:style w:type="paragraph" w:customStyle="1" w:styleId="51">
    <w:name w:val="Char Char1 Char Char Char Char Char Char Char Char Char Char Char Char Char Char Char Char"/>
    <w:basedOn w:val="1"/>
    <w:qFormat/>
    <w:uiPriority w:val="99"/>
    <w:rPr>
      <w:rFonts w:ascii="Arial" w:hAnsi="Arial" w:cs="Arial"/>
      <w:sz w:val="20"/>
      <w:szCs w:val="20"/>
    </w:rPr>
  </w:style>
  <w:style w:type="paragraph" w:customStyle="1" w:styleId="52">
    <w:name w:val="body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TOC 标题1"/>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B36E4-9ED3-4950-ABFA-DBB103C368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1611</Words>
  <Characters>9185</Characters>
  <Lines>76</Lines>
  <Paragraphs>21</Paragraphs>
  <TotalTime>0</TotalTime>
  <ScaleCrop>false</ScaleCrop>
  <LinksUpToDate>false</LinksUpToDate>
  <CharactersWithSpaces>10775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2021-07-06T12:14:00Z</dcterms:created>
  <dc:creator>王坤</dc:creator>
  <cp:lastModifiedBy>盐巴</cp:lastModifiedBy>
  <cp:lastPrinted>2021-07-06T12:30:00Z</cp:lastPrinted>
  <dcterms:modified xsi:type="dcterms:W3CDTF">2022-01-07T09:26:07Z</dcterms:modified>
  <dc:title> </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18976B56BE2344EDB2796CE281654A7F</vt:lpwstr>
  </property>
</Properties>
</file>